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1B80F" w14:textId="650318E7" w:rsidR="00894ECD" w:rsidRPr="000A1FBF" w:rsidRDefault="00894ECD" w:rsidP="000A1FBF">
      <w:pPr>
        <w:pBdr>
          <w:bottom w:val="single" w:sz="4" w:space="1" w:color="auto"/>
        </w:pBdr>
        <w:jc w:val="center"/>
        <w:rPr>
          <w:rFonts w:ascii="Marianne" w:hAnsi="Marianne"/>
          <w:b/>
          <w:bCs/>
          <w:sz w:val="20"/>
          <w:szCs w:val="20"/>
        </w:rPr>
      </w:pPr>
      <w:r w:rsidRPr="000A1FBF">
        <w:rPr>
          <w:rFonts w:ascii="Marianne" w:hAnsi="Marianne"/>
          <w:b/>
          <w:bCs/>
          <w:sz w:val="20"/>
          <w:szCs w:val="20"/>
        </w:rPr>
        <w:t>Q/R sur le règlement EEDS et la stratégie nationale</w:t>
      </w:r>
    </w:p>
    <w:p w14:paraId="133850EF" w14:textId="77777777" w:rsidR="00757A29" w:rsidRPr="006E00B8" w:rsidRDefault="00757A29" w:rsidP="004C2917">
      <w:pPr>
        <w:pStyle w:val="Paragraphedeliste"/>
        <w:numPr>
          <w:ilvl w:val="0"/>
          <w:numId w:val="8"/>
        </w:numPr>
        <w:jc w:val="both"/>
        <w:rPr>
          <w:rFonts w:ascii="Marianne" w:hAnsi="Marianne"/>
          <w:b/>
          <w:bCs/>
          <w:sz w:val="20"/>
          <w:szCs w:val="20"/>
        </w:rPr>
      </w:pPr>
      <w:r w:rsidRPr="006E00B8">
        <w:rPr>
          <w:rFonts w:ascii="Marianne" w:hAnsi="Marianne"/>
          <w:b/>
          <w:bCs/>
          <w:sz w:val="20"/>
          <w:szCs w:val="20"/>
        </w:rPr>
        <w:t xml:space="preserve">Données de santé : </w:t>
      </w:r>
    </w:p>
    <w:p w14:paraId="7285A0E3" w14:textId="77777777" w:rsidR="00757A29" w:rsidRPr="006E00B8" w:rsidRDefault="00757A29" w:rsidP="004C2917">
      <w:pPr>
        <w:jc w:val="both"/>
        <w:rPr>
          <w:rFonts w:ascii="Marianne" w:hAnsi="Marianne"/>
          <w:sz w:val="20"/>
          <w:szCs w:val="20"/>
        </w:rPr>
      </w:pPr>
      <w:r w:rsidRPr="006E00B8">
        <w:rPr>
          <w:rFonts w:ascii="Marianne" w:hAnsi="Marianne"/>
          <w:sz w:val="20"/>
          <w:szCs w:val="20"/>
        </w:rPr>
        <w:t>Est-ce que les données environnementales sont visées par l’obligation de mise à disposition ?</w:t>
      </w:r>
    </w:p>
    <w:p w14:paraId="126B4872" w14:textId="6FE5186D" w:rsidR="00757A29" w:rsidRPr="006E00B8" w:rsidRDefault="00757A29" w:rsidP="006E00B8">
      <w:pPr>
        <w:jc w:val="both"/>
        <w:rPr>
          <w:rFonts w:ascii="Marianne" w:hAnsi="Marianne"/>
          <w:color w:val="4472C4" w:themeColor="accent1"/>
          <w:sz w:val="20"/>
          <w:szCs w:val="20"/>
        </w:rPr>
      </w:pPr>
      <w:r w:rsidRPr="006E00B8">
        <w:rPr>
          <w:rFonts w:ascii="Marianne" w:hAnsi="Marianne"/>
          <w:color w:val="4472C4" w:themeColor="accent1"/>
          <w:sz w:val="20"/>
          <w:szCs w:val="20"/>
        </w:rPr>
        <w:t>Oui</w:t>
      </w:r>
      <w:r w:rsidR="00DC59CD" w:rsidRPr="006E00B8">
        <w:rPr>
          <w:rFonts w:ascii="Marianne" w:hAnsi="Marianne"/>
          <w:color w:val="4472C4" w:themeColor="accent1"/>
          <w:sz w:val="20"/>
          <w:szCs w:val="20"/>
        </w:rPr>
        <w:t>,</w:t>
      </w:r>
      <w:r w:rsidRPr="006E00B8">
        <w:rPr>
          <w:rFonts w:ascii="Marianne" w:hAnsi="Marianne"/>
          <w:color w:val="4472C4" w:themeColor="accent1"/>
          <w:sz w:val="20"/>
          <w:szCs w:val="20"/>
        </w:rPr>
        <w:t xml:space="preserve"> le règlement </w:t>
      </w:r>
      <w:r w:rsidR="00DC59CD" w:rsidRPr="006E00B8">
        <w:rPr>
          <w:rFonts w:ascii="Marianne" w:hAnsi="Marianne"/>
          <w:color w:val="4472C4" w:themeColor="accent1"/>
          <w:sz w:val="20"/>
          <w:szCs w:val="20"/>
        </w:rPr>
        <w:t xml:space="preserve">précise </w:t>
      </w:r>
      <w:r w:rsidRPr="006E00B8">
        <w:rPr>
          <w:rFonts w:ascii="Marianne" w:hAnsi="Marianne"/>
          <w:color w:val="4472C4" w:themeColor="accent1"/>
          <w:sz w:val="20"/>
          <w:szCs w:val="20"/>
        </w:rPr>
        <w:t>expressément</w:t>
      </w:r>
      <w:r w:rsidR="00A150E8" w:rsidRPr="006E00B8">
        <w:rPr>
          <w:rFonts w:ascii="Marianne" w:hAnsi="Marianne"/>
          <w:color w:val="4472C4" w:themeColor="accent1"/>
          <w:sz w:val="20"/>
          <w:szCs w:val="20"/>
        </w:rPr>
        <w:t xml:space="preserve"> en son article 51</w:t>
      </w:r>
      <w:r w:rsidRPr="006E00B8">
        <w:rPr>
          <w:rFonts w:ascii="Marianne" w:hAnsi="Marianne"/>
          <w:color w:val="4472C4" w:themeColor="accent1"/>
          <w:sz w:val="20"/>
          <w:szCs w:val="20"/>
        </w:rPr>
        <w:t xml:space="preserve"> que « </w:t>
      </w:r>
      <w:r w:rsidRPr="006E00B8">
        <w:rPr>
          <w:rFonts w:ascii="Marianne" w:hAnsi="Marianne"/>
          <w:i/>
          <w:iCs/>
          <w:color w:val="4472C4" w:themeColor="accent1"/>
          <w:sz w:val="20"/>
          <w:szCs w:val="20"/>
        </w:rPr>
        <w:t xml:space="preserve">les données sur les facteurs ayant une incidence sur la santé, dont les déterminants socio-économiques, environnementaux et comportementaux de la </w:t>
      </w:r>
      <w:r w:rsidR="00CA72EB" w:rsidRPr="006E00B8">
        <w:rPr>
          <w:rFonts w:ascii="Marianne" w:hAnsi="Marianne"/>
          <w:i/>
          <w:iCs/>
          <w:color w:val="4472C4" w:themeColor="accent1"/>
          <w:sz w:val="20"/>
          <w:szCs w:val="20"/>
        </w:rPr>
        <w:t>santé</w:t>
      </w:r>
      <w:r w:rsidR="00FC1154">
        <w:rPr>
          <w:rFonts w:ascii="Marianne" w:hAnsi="Marianne"/>
          <w:i/>
          <w:iCs/>
          <w:color w:val="4472C4" w:themeColor="accent1"/>
          <w:sz w:val="20"/>
          <w:szCs w:val="20"/>
        </w:rPr>
        <w:t xml:space="preserve"> </w:t>
      </w:r>
      <w:r w:rsidRPr="006E00B8">
        <w:rPr>
          <w:rFonts w:ascii="Cambria" w:hAnsi="Cambria" w:cs="Cambria"/>
          <w:i/>
          <w:iCs/>
          <w:color w:val="4472C4" w:themeColor="accent1"/>
          <w:sz w:val="20"/>
          <w:szCs w:val="20"/>
        </w:rPr>
        <w:t> </w:t>
      </w:r>
      <w:r w:rsidRPr="006E00B8">
        <w:rPr>
          <w:rFonts w:ascii="Marianne" w:hAnsi="Marianne"/>
          <w:color w:val="4472C4" w:themeColor="accent1"/>
          <w:sz w:val="20"/>
          <w:szCs w:val="20"/>
        </w:rPr>
        <w:t xml:space="preserve">» devront être mises à disposition par les détenteurs de données de santé. </w:t>
      </w:r>
    </w:p>
    <w:p w14:paraId="0B7A09EC" w14:textId="65A1E118" w:rsidR="00757A29" w:rsidRPr="006E00B8" w:rsidRDefault="00757A29" w:rsidP="004C2917">
      <w:pPr>
        <w:jc w:val="both"/>
        <w:rPr>
          <w:rFonts w:ascii="Marianne" w:hAnsi="Marianne"/>
          <w:sz w:val="20"/>
          <w:szCs w:val="20"/>
        </w:rPr>
      </w:pPr>
      <w:r w:rsidRPr="006E00B8">
        <w:rPr>
          <w:rFonts w:ascii="Marianne" w:hAnsi="Marianne"/>
          <w:sz w:val="20"/>
          <w:szCs w:val="20"/>
        </w:rPr>
        <w:t>Le règlement prévoit-il des exceptions</w:t>
      </w:r>
      <w:r w:rsidR="00BF63F7" w:rsidRPr="006E00B8">
        <w:rPr>
          <w:rFonts w:ascii="Marianne" w:hAnsi="Marianne"/>
          <w:sz w:val="20"/>
          <w:szCs w:val="20"/>
        </w:rPr>
        <w:t xml:space="preserve"> aux données visées</w:t>
      </w:r>
      <w:r w:rsidRPr="006E00B8">
        <w:rPr>
          <w:rFonts w:ascii="Marianne" w:hAnsi="Marianne"/>
          <w:sz w:val="20"/>
          <w:szCs w:val="20"/>
        </w:rPr>
        <w:t xml:space="preserve"> ? Par exemple concernant les données militaires ?</w:t>
      </w:r>
    </w:p>
    <w:p w14:paraId="613B8E91" w14:textId="77777777" w:rsidR="00FC1154" w:rsidRPr="006E00B8" w:rsidRDefault="00FC1154" w:rsidP="00FC1154">
      <w:pPr>
        <w:jc w:val="both"/>
        <w:rPr>
          <w:rFonts w:ascii="Marianne" w:hAnsi="Marianne"/>
          <w:color w:val="4472C4" w:themeColor="accent1"/>
          <w:sz w:val="20"/>
          <w:szCs w:val="20"/>
        </w:rPr>
      </w:pPr>
      <w:r w:rsidRPr="006E00B8">
        <w:rPr>
          <w:rFonts w:ascii="Marianne" w:hAnsi="Marianne"/>
          <w:color w:val="4472C4" w:themeColor="accent1"/>
          <w:sz w:val="20"/>
          <w:szCs w:val="20"/>
        </w:rPr>
        <w:t xml:space="preserve">Si les données de santé militaires sont visées par le règlement, leur communication et leur mise à disposition seront restreintes en cas de risque pour la défense nationale, la sécurité publique ou si la confidentialité d’une base de données gouvernementales est en jeu. </w:t>
      </w:r>
    </w:p>
    <w:p w14:paraId="61FDFC82" w14:textId="5F6468B8" w:rsidR="00D35302" w:rsidRDefault="003D371B" w:rsidP="004C2917">
      <w:pPr>
        <w:jc w:val="both"/>
        <w:rPr>
          <w:rFonts w:ascii="Marianne" w:hAnsi="Marianne"/>
          <w:color w:val="4472C4" w:themeColor="accent1"/>
          <w:sz w:val="20"/>
          <w:szCs w:val="20"/>
        </w:rPr>
      </w:pPr>
      <w:r>
        <w:rPr>
          <w:rFonts w:ascii="Marianne" w:hAnsi="Marianne"/>
          <w:color w:val="4472C4" w:themeColor="accent1"/>
          <w:sz w:val="20"/>
          <w:szCs w:val="20"/>
        </w:rPr>
        <w:t>En effet, l</w:t>
      </w:r>
      <w:r w:rsidR="00757A29" w:rsidRPr="006E00B8">
        <w:rPr>
          <w:rFonts w:ascii="Marianne" w:hAnsi="Marianne"/>
          <w:color w:val="4472C4" w:themeColor="accent1"/>
          <w:sz w:val="20"/>
          <w:szCs w:val="20"/>
        </w:rPr>
        <w:t>ors de l’évaluation d’une demande d’accès aux données, l’ORAD évaluera un ensemble de critères définis par le règlemen</w:t>
      </w:r>
      <w:r w:rsidR="00A812CB" w:rsidRPr="006E00B8">
        <w:rPr>
          <w:rFonts w:ascii="Marianne" w:hAnsi="Marianne"/>
          <w:color w:val="4472C4" w:themeColor="accent1"/>
          <w:sz w:val="20"/>
          <w:szCs w:val="20"/>
        </w:rPr>
        <w:t xml:space="preserve">t, tels que </w:t>
      </w:r>
      <w:r w:rsidR="00757A29" w:rsidRPr="006E00B8">
        <w:rPr>
          <w:rFonts w:ascii="Marianne" w:hAnsi="Marianne"/>
          <w:color w:val="4472C4" w:themeColor="accent1"/>
          <w:sz w:val="20"/>
          <w:szCs w:val="20"/>
        </w:rPr>
        <w:t xml:space="preserve">les risques pour la défense nationale, la sécurité publique et l’ordre public et d’autre part le risque </w:t>
      </w:r>
      <w:r w:rsidR="001B5602" w:rsidRPr="006E00B8">
        <w:rPr>
          <w:rFonts w:ascii="Marianne" w:hAnsi="Marianne"/>
          <w:color w:val="4472C4" w:themeColor="accent1"/>
          <w:sz w:val="20"/>
          <w:szCs w:val="20"/>
        </w:rPr>
        <w:t xml:space="preserve">lié à la protection de </w:t>
      </w:r>
      <w:r w:rsidR="00757A29" w:rsidRPr="006E00B8">
        <w:rPr>
          <w:rFonts w:ascii="Marianne" w:hAnsi="Marianne"/>
          <w:color w:val="4472C4" w:themeColor="accent1"/>
          <w:sz w:val="20"/>
          <w:szCs w:val="20"/>
        </w:rPr>
        <w:t>la confidentialité des données dans les bases de données gouvernementales des autorités réglementaires</w:t>
      </w:r>
      <w:r w:rsidR="00E02109" w:rsidRPr="006E00B8">
        <w:rPr>
          <w:rFonts w:ascii="Marianne" w:hAnsi="Marianne"/>
          <w:color w:val="4472C4" w:themeColor="accent1"/>
          <w:sz w:val="20"/>
          <w:szCs w:val="20"/>
        </w:rPr>
        <w:t xml:space="preserve"> (Article 68 – Autorisation de traitement)</w:t>
      </w:r>
      <w:r w:rsidR="00FC1154">
        <w:rPr>
          <w:rFonts w:ascii="Marianne" w:hAnsi="Marianne"/>
          <w:color w:val="4472C4" w:themeColor="accent1"/>
          <w:sz w:val="20"/>
          <w:szCs w:val="20"/>
        </w:rPr>
        <w:t>.</w:t>
      </w:r>
    </w:p>
    <w:p w14:paraId="341E5083" w14:textId="77777777" w:rsidR="00661ECF" w:rsidRPr="00661ECF" w:rsidRDefault="00661ECF" w:rsidP="004C2917">
      <w:pPr>
        <w:jc w:val="both"/>
        <w:rPr>
          <w:rFonts w:ascii="Marianne" w:hAnsi="Marianne"/>
          <w:color w:val="4472C4" w:themeColor="accent1"/>
          <w:sz w:val="20"/>
          <w:szCs w:val="20"/>
        </w:rPr>
      </w:pPr>
    </w:p>
    <w:p w14:paraId="7C478655" w14:textId="4FA485CD" w:rsidR="00757A29" w:rsidRPr="006E00B8" w:rsidRDefault="00757A29" w:rsidP="004C2917">
      <w:pPr>
        <w:pStyle w:val="Paragraphedeliste"/>
        <w:numPr>
          <w:ilvl w:val="0"/>
          <w:numId w:val="8"/>
        </w:numPr>
        <w:jc w:val="both"/>
        <w:rPr>
          <w:rFonts w:ascii="Marianne" w:hAnsi="Marianne"/>
          <w:b/>
          <w:bCs/>
          <w:sz w:val="20"/>
          <w:szCs w:val="20"/>
        </w:rPr>
      </w:pPr>
      <w:r w:rsidRPr="006E00B8">
        <w:rPr>
          <w:rFonts w:ascii="Marianne" w:hAnsi="Marianne"/>
          <w:b/>
          <w:bCs/>
          <w:sz w:val="20"/>
          <w:szCs w:val="20"/>
        </w:rPr>
        <w:t xml:space="preserve">Détenteur de données : </w:t>
      </w:r>
    </w:p>
    <w:p w14:paraId="5EF9550D" w14:textId="77777777" w:rsidR="00757A29" w:rsidRPr="006E00B8" w:rsidRDefault="00757A29" w:rsidP="004C2917">
      <w:pPr>
        <w:jc w:val="both"/>
        <w:rPr>
          <w:rFonts w:ascii="Marianne" w:hAnsi="Marianne"/>
          <w:sz w:val="20"/>
          <w:szCs w:val="20"/>
        </w:rPr>
      </w:pPr>
      <w:r w:rsidRPr="006E00B8">
        <w:rPr>
          <w:rFonts w:ascii="Marianne" w:hAnsi="Marianne"/>
          <w:sz w:val="20"/>
          <w:szCs w:val="20"/>
        </w:rPr>
        <w:t>Qu'est-ce qu'un détenteur de données électroniques de santé ? Est-ce que les personnes morales sont concernées ?</w:t>
      </w:r>
    </w:p>
    <w:p w14:paraId="1D8D77D9" w14:textId="40CF4837" w:rsidR="007C1A5C" w:rsidRPr="006E00B8" w:rsidRDefault="007C1A5C" w:rsidP="004C2917">
      <w:pPr>
        <w:jc w:val="both"/>
        <w:rPr>
          <w:rFonts w:ascii="Marianne" w:hAnsi="Marianne"/>
          <w:color w:val="4472C4" w:themeColor="accent1"/>
          <w:sz w:val="20"/>
          <w:szCs w:val="20"/>
        </w:rPr>
      </w:pPr>
      <w:r w:rsidRPr="006E00B8">
        <w:rPr>
          <w:rFonts w:ascii="Marianne" w:hAnsi="Marianne"/>
          <w:color w:val="4472C4" w:themeColor="accent1"/>
          <w:sz w:val="20"/>
          <w:szCs w:val="20"/>
        </w:rPr>
        <w:t>Le règlement donne une définition assez large du détenteur de données. Il s’agit ainsi de</w:t>
      </w:r>
      <w:r w:rsidRPr="006E00B8">
        <w:rPr>
          <w:rFonts w:ascii="Cambria" w:hAnsi="Cambria" w:cs="Cambria"/>
          <w:color w:val="4472C4" w:themeColor="accent1"/>
          <w:sz w:val="20"/>
          <w:szCs w:val="20"/>
        </w:rPr>
        <w:t> </w:t>
      </w:r>
      <w:r w:rsidRPr="006E00B8">
        <w:rPr>
          <w:rFonts w:ascii="Marianne" w:hAnsi="Marianne"/>
          <w:color w:val="4472C4" w:themeColor="accent1"/>
          <w:sz w:val="20"/>
          <w:szCs w:val="20"/>
        </w:rPr>
        <w:t>:</w:t>
      </w:r>
    </w:p>
    <w:p w14:paraId="27496A04" w14:textId="14A1AE31" w:rsidR="003607F9" w:rsidRPr="006E00B8" w:rsidRDefault="003607F9" w:rsidP="004C2917">
      <w:pPr>
        <w:pStyle w:val="Paragraphedeliste"/>
        <w:numPr>
          <w:ilvl w:val="0"/>
          <w:numId w:val="7"/>
        </w:numPr>
        <w:jc w:val="both"/>
        <w:rPr>
          <w:rFonts w:ascii="Marianne" w:hAnsi="Marianne"/>
          <w:color w:val="4472C4" w:themeColor="accent1"/>
          <w:sz w:val="20"/>
          <w:szCs w:val="20"/>
        </w:rPr>
      </w:pPr>
      <w:r w:rsidRPr="006E00B8">
        <w:rPr>
          <w:rFonts w:ascii="Marianne" w:hAnsi="Marianne"/>
          <w:color w:val="4472C4" w:themeColor="accent1"/>
          <w:sz w:val="20"/>
          <w:szCs w:val="20"/>
        </w:rPr>
        <w:t>Toute personne physique ou morale autorité publique, agence ou autre organisme dans les secteurs de la santé ou des soins ; y compris les services de remboursement lorsque nécessaire ;</w:t>
      </w:r>
    </w:p>
    <w:p w14:paraId="4674EE8C" w14:textId="3706652E" w:rsidR="003607F9" w:rsidRPr="006E00B8" w:rsidRDefault="003607F9" w:rsidP="004C2917">
      <w:pPr>
        <w:pStyle w:val="Paragraphedeliste"/>
        <w:numPr>
          <w:ilvl w:val="0"/>
          <w:numId w:val="7"/>
        </w:numPr>
        <w:jc w:val="both"/>
        <w:rPr>
          <w:rFonts w:ascii="Marianne" w:hAnsi="Marianne"/>
          <w:color w:val="4472C4" w:themeColor="accent1"/>
          <w:sz w:val="20"/>
          <w:szCs w:val="20"/>
        </w:rPr>
      </w:pPr>
      <w:r w:rsidRPr="006E00B8">
        <w:rPr>
          <w:rFonts w:ascii="Marianne" w:hAnsi="Marianne"/>
          <w:color w:val="4472C4" w:themeColor="accent1"/>
          <w:sz w:val="20"/>
          <w:szCs w:val="20"/>
        </w:rPr>
        <w:t>Toute personne physique ou morale développant des produits ou des services destinés aux secteurs de la santé, des soins ou des soins de santé ; développant ou fabriquant des applications de bien-être ;</w:t>
      </w:r>
    </w:p>
    <w:p w14:paraId="0EF05B90" w14:textId="2108AA42" w:rsidR="003607F9" w:rsidRPr="006E00B8" w:rsidRDefault="003607F9" w:rsidP="004C2917">
      <w:pPr>
        <w:pStyle w:val="Paragraphedeliste"/>
        <w:numPr>
          <w:ilvl w:val="0"/>
          <w:numId w:val="7"/>
        </w:numPr>
        <w:jc w:val="both"/>
        <w:rPr>
          <w:rFonts w:ascii="Marianne" w:hAnsi="Marianne"/>
          <w:color w:val="4472C4" w:themeColor="accent1"/>
          <w:sz w:val="20"/>
          <w:szCs w:val="20"/>
        </w:rPr>
      </w:pPr>
      <w:r w:rsidRPr="006E00B8">
        <w:rPr>
          <w:rFonts w:ascii="Marianne" w:hAnsi="Marianne"/>
          <w:color w:val="4472C4" w:themeColor="accent1"/>
          <w:sz w:val="20"/>
          <w:szCs w:val="20"/>
        </w:rPr>
        <w:t>Toute personne physique ou morale effectuant de la recherche en relation avec les secteurs - des soins de santé ou des soins ;</w:t>
      </w:r>
    </w:p>
    <w:p w14:paraId="35F5499A" w14:textId="0FFC87B8" w:rsidR="003607F9" w:rsidRPr="006E00B8" w:rsidRDefault="003607F9" w:rsidP="004C2917">
      <w:pPr>
        <w:pStyle w:val="Paragraphedeliste"/>
        <w:numPr>
          <w:ilvl w:val="0"/>
          <w:numId w:val="7"/>
        </w:numPr>
        <w:jc w:val="both"/>
        <w:rPr>
          <w:rFonts w:ascii="Marianne" w:hAnsi="Marianne"/>
          <w:color w:val="4472C4" w:themeColor="accent1"/>
          <w:sz w:val="20"/>
          <w:szCs w:val="20"/>
        </w:rPr>
      </w:pPr>
      <w:r w:rsidRPr="006E00B8">
        <w:rPr>
          <w:rFonts w:ascii="Marianne" w:hAnsi="Marianne"/>
          <w:color w:val="4472C4" w:themeColor="accent1"/>
          <w:sz w:val="20"/>
          <w:szCs w:val="20"/>
        </w:rPr>
        <w:t>Toute personne physique ou morale agissant en tant que registre de mortalité ;</w:t>
      </w:r>
    </w:p>
    <w:p w14:paraId="1E156BD2" w14:textId="286AA135" w:rsidR="003607F9" w:rsidRPr="006E00B8" w:rsidRDefault="003607F9" w:rsidP="004C2917">
      <w:pPr>
        <w:pStyle w:val="Paragraphedeliste"/>
        <w:numPr>
          <w:ilvl w:val="0"/>
          <w:numId w:val="7"/>
        </w:numPr>
        <w:jc w:val="both"/>
        <w:rPr>
          <w:rFonts w:ascii="Marianne" w:hAnsi="Marianne"/>
          <w:color w:val="4472C4" w:themeColor="accent1"/>
          <w:sz w:val="20"/>
          <w:szCs w:val="20"/>
        </w:rPr>
      </w:pPr>
      <w:r w:rsidRPr="006E00B8">
        <w:rPr>
          <w:rFonts w:ascii="Marianne" w:hAnsi="Marianne"/>
          <w:color w:val="4472C4" w:themeColor="accent1"/>
          <w:sz w:val="20"/>
          <w:szCs w:val="20"/>
        </w:rPr>
        <w:t>Toute institution, organisme, bureau ou agence de l’Union</w:t>
      </w:r>
      <w:r w:rsidR="00340C25" w:rsidRPr="006E00B8">
        <w:rPr>
          <w:rFonts w:ascii="Marianne" w:hAnsi="Marianne"/>
          <w:color w:val="4472C4" w:themeColor="accent1"/>
          <w:sz w:val="20"/>
          <w:szCs w:val="20"/>
        </w:rPr>
        <w:t>…</w:t>
      </w:r>
    </w:p>
    <w:p w14:paraId="3003E2AB" w14:textId="1DB745FF" w:rsidR="003607F9" w:rsidRPr="006E00B8" w:rsidRDefault="00340C25" w:rsidP="004C2917">
      <w:pPr>
        <w:jc w:val="both"/>
        <w:rPr>
          <w:rFonts w:ascii="Marianne" w:hAnsi="Marianne"/>
          <w:color w:val="4472C4" w:themeColor="accent1"/>
          <w:sz w:val="20"/>
          <w:szCs w:val="20"/>
        </w:rPr>
      </w:pPr>
      <w:r w:rsidRPr="006E00B8">
        <w:rPr>
          <w:rFonts w:ascii="Marianne" w:hAnsi="Marianne"/>
          <w:color w:val="4472C4" w:themeColor="accent1"/>
          <w:sz w:val="20"/>
          <w:szCs w:val="20"/>
        </w:rPr>
        <w:t>…q</w:t>
      </w:r>
      <w:r w:rsidR="003607F9" w:rsidRPr="006E00B8">
        <w:rPr>
          <w:rFonts w:ascii="Marianne" w:hAnsi="Marianne"/>
          <w:color w:val="4472C4" w:themeColor="accent1"/>
          <w:sz w:val="20"/>
          <w:szCs w:val="20"/>
        </w:rPr>
        <w:t>ui a le droit ou l’obligation de traiter en tant que responsable de traitement (pour les données personnelles) ou qui a la capacité de mettre à disposition des données de santé (pour les données non personnelles)</w:t>
      </w:r>
      <w:r w:rsidRPr="006E00B8">
        <w:rPr>
          <w:rFonts w:ascii="Marianne" w:hAnsi="Marianne"/>
          <w:color w:val="4472C4" w:themeColor="accent1"/>
          <w:sz w:val="20"/>
          <w:szCs w:val="20"/>
        </w:rPr>
        <w:t>.</w:t>
      </w:r>
    </w:p>
    <w:p w14:paraId="6EE511A7" w14:textId="5027C6E8" w:rsidR="003607F9" w:rsidRPr="006E00B8" w:rsidRDefault="003607F9" w:rsidP="004C2917">
      <w:pPr>
        <w:jc w:val="both"/>
        <w:rPr>
          <w:rFonts w:ascii="Marianne" w:hAnsi="Marianne"/>
          <w:color w:val="4472C4" w:themeColor="accent1"/>
          <w:sz w:val="20"/>
          <w:szCs w:val="20"/>
        </w:rPr>
      </w:pPr>
      <w:r w:rsidRPr="006E00B8">
        <w:rPr>
          <w:rFonts w:ascii="Marianne" w:hAnsi="Marianne"/>
          <w:color w:val="4472C4" w:themeColor="accent1"/>
          <w:sz w:val="20"/>
          <w:szCs w:val="20"/>
        </w:rPr>
        <w:t>Ainsi, les personnes morales sont bien visées par le règlement EEDS.</w:t>
      </w:r>
    </w:p>
    <w:p w14:paraId="1E40BC66" w14:textId="77777777" w:rsidR="00757A29" w:rsidRPr="006E00B8" w:rsidRDefault="00757A29" w:rsidP="004C2917">
      <w:pPr>
        <w:jc w:val="both"/>
        <w:rPr>
          <w:rFonts w:ascii="Marianne" w:hAnsi="Marianne"/>
          <w:sz w:val="20"/>
          <w:szCs w:val="20"/>
        </w:rPr>
      </w:pPr>
      <w:r w:rsidRPr="006E00B8">
        <w:rPr>
          <w:rFonts w:ascii="Marianne" w:hAnsi="Marianne"/>
          <w:sz w:val="20"/>
          <w:szCs w:val="20"/>
        </w:rPr>
        <w:t>Est-ce qu'un éditeur est un détenteur ?</w:t>
      </w:r>
    </w:p>
    <w:p w14:paraId="34886561" w14:textId="1E2A794C" w:rsidR="00757A29" w:rsidRDefault="003607F9" w:rsidP="004C2917">
      <w:pPr>
        <w:jc w:val="both"/>
        <w:rPr>
          <w:rFonts w:ascii="Marianne" w:hAnsi="Marianne"/>
          <w:color w:val="4472C4" w:themeColor="accent1"/>
          <w:sz w:val="20"/>
          <w:szCs w:val="20"/>
        </w:rPr>
      </w:pPr>
      <w:r w:rsidRPr="006E00B8">
        <w:rPr>
          <w:rFonts w:ascii="Marianne" w:hAnsi="Marianne"/>
          <w:color w:val="4472C4" w:themeColor="accent1"/>
          <w:sz w:val="20"/>
          <w:szCs w:val="20"/>
        </w:rPr>
        <w:t>Oui</w:t>
      </w:r>
      <w:r w:rsidR="00FC1154">
        <w:rPr>
          <w:rFonts w:ascii="Marianne" w:hAnsi="Marianne"/>
          <w:color w:val="4472C4" w:themeColor="accent1"/>
          <w:sz w:val="20"/>
          <w:szCs w:val="20"/>
        </w:rPr>
        <w:t>,</w:t>
      </w:r>
      <w:r w:rsidRPr="006E00B8">
        <w:rPr>
          <w:rFonts w:ascii="Marianne" w:hAnsi="Marianne"/>
          <w:color w:val="4472C4" w:themeColor="accent1"/>
          <w:sz w:val="20"/>
          <w:szCs w:val="20"/>
        </w:rPr>
        <w:t xml:space="preserve"> un éditeur est considéré comme un détenteur au sens du règlement EEDS. </w:t>
      </w:r>
    </w:p>
    <w:p w14:paraId="44FD4D26" w14:textId="77777777" w:rsidR="00661ECF" w:rsidRPr="006E00B8" w:rsidRDefault="00661ECF" w:rsidP="004C2917">
      <w:pPr>
        <w:jc w:val="both"/>
        <w:rPr>
          <w:rFonts w:ascii="Marianne" w:hAnsi="Marianne"/>
          <w:color w:val="4472C4" w:themeColor="accent1"/>
          <w:sz w:val="20"/>
          <w:szCs w:val="20"/>
        </w:rPr>
      </w:pPr>
    </w:p>
    <w:p w14:paraId="6FA60949" w14:textId="77777777" w:rsidR="00757A29" w:rsidRPr="006E00B8" w:rsidRDefault="00757A29" w:rsidP="004C2917">
      <w:pPr>
        <w:pStyle w:val="Paragraphedeliste"/>
        <w:numPr>
          <w:ilvl w:val="0"/>
          <w:numId w:val="8"/>
        </w:numPr>
        <w:jc w:val="both"/>
        <w:rPr>
          <w:rFonts w:ascii="Marianne" w:hAnsi="Marianne"/>
          <w:b/>
          <w:bCs/>
          <w:sz w:val="20"/>
          <w:szCs w:val="20"/>
        </w:rPr>
      </w:pPr>
      <w:r w:rsidRPr="006E00B8">
        <w:rPr>
          <w:rFonts w:ascii="Marianne" w:hAnsi="Marianne"/>
          <w:b/>
          <w:bCs/>
          <w:sz w:val="20"/>
          <w:szCs w:val="20"/>
        </w:rPr>
        <w:lastRenderedPageBreak/>
        <w:t xml:space="preserve">Redevances : </w:t>
      </w:r>
    </w:p>
    <w:p w14:paraId="4FBF278F" w14:textId="2D2A4AC8" w:rsidR="00757A29" w:rsidRPr="006E00B8" w:rsidRDefault="00757A29" w:rsidP="004C2917">
      <w:pPr>
        <w:jc w:val="both"/>
        <w:rPr>
          <w:rFonts w:ascii="Marianne" w:hAnsi="Marianne"/>
          <w:sz w:val="20"/>
          <w:szCs w:val="20"/>
        </w:rPr>
      </w:pPr>
      <w:r w:rsidRPr="006E00B8">
        <w:rPr>
          <w:rFonts w:ascii="Marianne" w:hAnsi="Marianne"/>
          <w:sz w:val="20"/>
          <w:szCs w:val="20"/>
        </w:rPr>
        <w:t>Qui va percevoir les redevances</w:t>
      </w:r>
      <w:r w:rsidR="00BF0F5D" w:rsidRPr="006E00B8">
        <w:rPr>
          <w:rFonts w:ascii="Marianne" w:hAnsi="Marianne"/>
          <w:sz w:val="20"/>
          <w:szCs w:val="20"/>
        </w:rPr>
        <w:t xml:space="preserve"> </w:t>
      </w:r>
      <w:r w:rsidRPr="006E00B8">
        <w:rPr>
          <w:rFonts w:ascii="Marianne" w:hAnsi="Marianne"/>
          <w:sz w:val="20"/>
          <w:szCs w:val="20"/>
        </w:rPr>
        <w:t xml:space="preserve">? </w:t>
      </w:r>
    </w:p>
    <w:p w14:paraId="5FF7E428" w14:textId="6E60590F" w:rsidR="008A48A4" w:rsidRPr="006E00B8" w:rsidRDefault="006078C5" w:rsidP="004C2917">
      <w:pPr>
        <w:jc w:val="both"/>
        <w:rPr>
          <w:rFonts w:ascii="Marianne" w:hAnsi="Marianne"/>
          <w:sz w:val="20"/>
          <w:szCs w:val="20"/>
        </w:rPr>
      </w:pPr>
      <w:r w:rsidRPr="006E00B8">
        <w:rPr>
          <w:rFonts w:ascii="Marianne" w:hAnsi="Marianne"/>
          <w:sz w:val="20"/>
          <w:szCs w:val="20"/>
        </w:rPr>
        <w:t>Il existe deux types de redevances visant (i) l’ORAD et (ii) le détenteur de donnée</w:t>
      </w:r>
      <w:r w:rsidR="00AF6223" w:rsidRPr="006E00B8">
        <w:rPr>
          <w:rFonts w:ascii="Marianne" w:hAnsi="Marianne"/>
          <w:sz w:val="20"/>
          <w:szCs w:val="20"/>
        </w:rPr>
        <w:t>s</w:t>
      </w:r>
      <w:r w:rsidR="00B96601" w:rsidRPr="006E00B8">
        <w:rPr>
          <w:rFonts w:ascii="Cambria" w:hAnsi="Cambria" w:cs="Cambria"/>
          <w:sz w:val="20"/>
          <w:szCs w:val="20"/>
        </w:rPr>
        <w:t> </w:t>
      </w:r>
      <w:r w:rsidR="00B96601" w:rsidRPr="006E00B8">
        <w:rPr>
          <w:rFonts w:ascii="Marianne" w:hAnsi="Marianne"/>
          <w:sz w:val="20"/>
          <w:szCs w:val="20"/>
        </w:rPr>
        <w:t>:</w:t>
      </w:r>
    </w:p>
    <w:p w14:paraId="6D4ECBE7" w14:textId="7944A1EF" w:rsidR="00B96601" w:rsidRPr="006E00B8" w:rsidRDefault="00B96601" w:rsidP="00FC1154">
      <w:pPr>
        <w:jc w:val="center"/>
        <w:rPr>
          <w:rFonts w:ascii="Marianne" w:hAnsi="Marianne"/>
          <w:sz w:val="20"/>
          <w:szCs w:val="20"/>
        </w:rPr>
      </w:pPr>
      <w:r w:rsidRPr="006E00B8">
        <w:rPr>
          <w:rFonts w:ascii="Marianne" w:hAnsi="Marianne"/>
          <w:noProof/>
          <w:sz w:val="20"/>
          <w:szCs w:val="20"/>
        </w:rPr>
        <w:drawing>
          <wp:inline distT="0" distB="0" distL="0" distR="0" wp14:anchorId="50F0CD52" wp14:editId="6D241772">
            <wp:extent cx="2908571" cy="1866001"/>
            <wp:effectExtent l="0" t="0" r="0" b="1270"/>
            <wp:docPr id="1741526292" name="Image 1"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526292" name="Image 1" descr="Une image contenant texte, capture d’écran, Police, ligne&#10;&#10;Description générée automatiquement"/>
                    <pic:cNvPicPr/>
                  </pic:nvPicPr>
                  <pic:blipFill>
                    <a:blip r:embed="rId10"/>
                    <a:stretch>
                      <a:fillRect/>
                    </a:stretch>
                  </pic:blipFill>
                  <pic:spPr>
                    <a:xfrm>
                      <a:off x="0" y="0"/>
                      <a:ext cx="2921863" cy="1874529"/>
                    </a:xfrm>
                    <a:prstGeom prst="rect">
                      <a:avLst/>
                    </a:prstGeom>
                  </pic:spPr>
                </pic:pic>
              </a:graphicData>
            </a:graphic>
          </wp:inline>
        </w:drawing>
      </w:r>
    </w:p>
    <w:p w14:paraId="2FB7714F" w14:textId="33A9A949" w:rsidR="0046574F" w:rsidRDefault="0046574F" w:rsidP="006E00B8">
      <w:pPr>
        <w:jc w:val="both"/>
        <w:rPr>
          <w:rFonts w:ascii="Marianne" w:hAnsi="Marianne"/>
          <w:color w:val="4472C4" w:themeColor="accent1"/>
          <w:sz w:val="20"/>
          <w:szCs w:val="20"/>
        </w:rPr>
      </w:pPr>
      <w:r w:rsidRPr="006E00B8">
        <w:rPr>
          <w:rFonts w:ascii="Marianne" w:hAnsi="Marianne"/>
          <w:color w:val="4472C4" w:themeColor="accent1"/>
          <w:sz w:val="20"/>
          <w:szCs w:val="20"/>
        </w:rPr>
        <w:t xml:space="preserve">Les ORAD pourront percevoir des redevances correspondant au cout de mise à disposition des données. Par ailleurs, le détenteur de données de santé pourra lui aussi percevoir une redevance qui correspondra aux couts exposés par celui-ci pour la compilation et la préparation des données afin de les mettre à disposition. Dans cette seconde hypothèse, le détenteur de données de santé devra fournir une estimation des coûts à l’ORAD. </w:t>
      </w:r>
    </w:p>
    <w:p w14:paraId="60022CA6" w14:textId="77777777" w:rsidR="00D35302" w:rsidRPr="006E00B8" w:rsidRDefault="00D35302" w:rsidP="006E00B8">
      <w:pPr>
        <w:jc w:val="both"/>
        <w:rPr>
          <w:rFonts w:ascii="Marianne" w:hAnsi="Marianne"/>
          <w:b/>
          <w:bCs/>
          <w:sz w:val="20"/>
          <w:szCs w:val="20"/>
        </w:rPr>
      </w:pPr>
    </w:p>
    <w:p w14:paraId="27926DD3" w14:textId="56FADDD9" w:rsidR="00757A29" w:rsidRPr="006E00B8" w:rsidRDefault="00757A29" w:rsidP="004C2917">
      <w:pPr>
        <w:pStyle w:val="Paragraphedeliste"/>
        <w:numPr>
          <w:ilvl w:val="0"/>
          <w:numId w:val="8"/>
        </w:numPr>
        <w:jc w:val="both"/>
        <w:rPr>
          <w:rFonts w:ascii="Marianne" w:hAnsi="Marianne"/>
          <w:b/>
          <w:bCs/>
          <w:sz w:val="20"/>
          <w:szCs w:val="20"/>
        </w:rPr>
      </w:pPr>
      <w:r w:rsidRPr="006E00B8">
        <w:rPr>
          <w:rFonts w:ascii="Marianne" w:hAnsi="Marianne"/>
          <w:b/>
          <w:bCs/>
          <w:sz w:val="20"/>
          <w:szCs w:val="20"/>
        </w:rPr>
        <w:t xml:space="preserve">Tarifications : </w:t>
      </w:r>
    </w:p>
    <w:p w14:paraId="1665EA08" w14:textId="29A594C0" w:rsidR="005A0DF0" w:rsidRPr="006E00B8" w:rsidRDefault="00757A29" w:rsidP="006E00B8">
      <w:pPr>
        <w:jc w:val="both"/>
        <w:rPr>
          <w:rFonts w:ascii="Marianne" w:hAnsi="Marianne"/>
          <w:sz w:val="20"/>
          <w:szCs w:val="20"/>
        </w:rPr>
      </w:pPr>
      <w:r w:rsidRPr="006E00B8">
        <w:rPr>
          <w:rFonts w:ascii="Marianne" w:hAnsi="Marianne"/>
          <w:sz w:val="20"/>
          <w:szCs w:val="20"/>
        </w:rPr>
        <w:t xml:space="preserve">Qui va centraliser les tarifications ? </w:t>
      </w:r>
      <w:r w:rsidR="00BF0F5D" w:rsidRPr="006E00B8">
        <w:rPr>
          <w:rFonts w:ascii="Marianne" w:hAnsi="Marianne"/>
          <w:sz w:val="20"/>
          <w:szCs w:val="20"/>
        </w:rPr>
        <w:t>Est-ce qu’une harmonisation au niveau européen est prévue ?</w:t>
      </w:r>
    </w:p>
    <w:p w14:paraId="0B614A62" w14:textId="54477E01" w:rsidR="00DF2885" w:rsidRPr="006E00B8" w:rsidRDefault="00D9400B" w:rsidP="006E00B8">
      <w:pPr>
        <w:jc w:val="both"/>
        <w:rPr>
          <w:rFonts w:ascii="Marianne" w:hAnsi="Marianne"/>
          <w:color w:val="4472C4" w:themeColor="accent1"/>
          <w:sz w:val="20"/>
          <w:szCs w:val="20"/>
        </w:rPr>
      </w:pPr>
      <w:r w:rsidRPr="006E00B8">
        <w:rPr>
          <w:rFonts w:ascii="Marianne" w:hAnsi="Marianne"/>
          <w:color w:val="4472C4" w:themeColor="accent1"/>
          <w:sz w:val="20"/>
          <w:szCs w:val="20"/>
        </w:rPr>
        <w:t>L</w:t>
      </w:r>
      <w:r w:rsidR="00DF2885" w:rsidRPr="006E00B8">
        <w:rPr>
          <w:rFonts w:ascii="Marianne" w:hAnsi="Marianne"/>
          <w:color w:val="4472C4" w:themeColor="accent1"/>
          <w:sz w:val="20"/>
          <w:szCs w:val="20"/>
        </w:rPr>
        <w:t>e règlement ne prévoit pas de mécanisme de centralisation des tarifications au niveau européen. Chaque ORAD aura la responsabilité de fixer les redevances en fonction des demandes d’accès reçues. Cependant, le texte insiste sur l’importance d’assurer une transparence totale de la part des ORAD envers les différents acteurs</w:t>
      </w:r>
      <w:r w:rsidR="008F5377" w:rsidRPr="006E00B8">
        <w:rPr>
          <w:rFonts w:ascii="Marianne" w:hAnsi="Marianne"/>
          <w:color w:val="4472C4" w:themeColor="accent1"/>
          <w:sz w:val="20"/>
          <w:szCs w:val="20"/>
        </w:rPr>
        <w:t>.</w:t>
      </w:r>
      <w:r w:rsidR="00DF2885" w:rsidRPr="006E00B8">
        <w:rPr>
          <w:rFonts w:ascii="Marianne" w:hAnsi="Marianne"/>
          <w:color w:val="4472C4" w:themeColor="accent1"/>
          <w:sz w:val="20"/>
          <w:szCs w:val="20"/>
        </w:rPr>
        <w:t xml:space="preserve"> </w:t>
      </w:r>
    </w:p>
    <w:p w14:paraId="62996C24" w14:textId="5812840C" w:rsidR="001B5602" w:rsidRDefault="001B5602" w:rsidP="006E00B8">
      <w:pPr>
        <w:jc w:val="both"/>
        <w:rPr>
          <w:rFonts w:ascii="Marianne" w:hAnsi="Marianne"/>
          <w:color w:val="4472C4" w:themeColor="accent1"/>
          <w:sz w:val="20"/>
          <w:szCs w:val="20"/>
        </w:rPr>
      </w:pPr>
      <w:r w:rsidRPr="006E00B8">
        <w:rPr>
          <w:rFonts w:ascii="Marianne" w:hAnsi="Marianne"/>
          <w:color w:val="4472C4" w:themeColor="accent1"/>
          <w:sz w:val="20"/>
          <w:szCs w:val="20"/>
        </w:rPr>
        <w:t xml:space="preserve">« </w:t>
      </w:r>
      <w:proofErr w:type="spellStart"/>
      <w:r w:rsidRPr="006E00B8">
        <w:rPr>
          <w:rFonts w:ascii="Marianne" w:hAnsi="Marianne"/>
          <w:color w:val="4472C4" w:themeColor="accent1"/>
          <w:sz w:val="20"/>
          <w:szCs w:val="20"/>
        </w:rPr>
        <w:t>Towards</w:t>
      </w:r>
      <w:proofErr w:type="spellEnd"/>
      <w:r w:rsidRPr="006E00B8">
        <w:rPr>
          <w:rFonts w:ascii="Marianne" w:hAnsi="Marianne"/>
          <w:color w:val="4472C4" w:themeColor="accent1"/>
          <w:sz w:val="20"/>
          <w:szCs w:val="20"/>
        </w:rPr>
        <w:t xml:space="preserve"> a </w:t>
      </w:r>
      <w:proofErr w:type="spellStart"/>
      <w:r w:rsidRPr="006E00B8">
        <w:rPr>
          <w:rFonts w:ascii="Marianne" w:hAnsi="Marianne"/>
          <w:color w:val="4472C4" w:themeColor="accent1"/>
          <w:sz w:val="20"/>
          <w:szCs w:val="20"/>
        </w:rPr>
        <w:t>European</w:t>
      </w:r>
      <w:proofErr w:type="spellEnd"/>
      <w:r w:rsidRPr="006E00B8">
        <w:rPr>
          <w:rFonts w:ascii="Marianne" w:hAnsi="Marianne"/>
          <w:color w:val="4472C4" w:themeColor="accent1"/>
          <w:sz w:val="20"/>
          <w:szCs w:val="20"/>
        </w:rPr>
        <w:t xml:space="preserve"> </w:t>
      </w:r>
      <w:proofErr w:type="spellStart"/>
      <w:r w:rsidRPr="006E00B8">
        <w:rPr>
          <w:rFonts w:ascii="Marianne" w:hAnsi="Marianne"/>
          <w:color w:val="4472C4" w:themeColor="accent1"/>
          <w:sz w:val="20"/>
          <w:szCs w:val="20"/>
        </w:rPr>
        <w:t>Health</w:t>
      </w:r>
      <w:proofErr w:type="spellEnd"/>
      <w:r w:rsidRPr="006E00B8">
        <w:rPr>
          <w:rFonts w:ascii="Marianne" w:hAnsi="Marianne"/>
          <w:color w:val="4472C4" w:themeColor="accent1"/>
          <w:sz w:val="20"/>
          <w:szCs w:val="20"/>
        </w:rPr>
        <w:t xml:space="preserve"> Data </w:t>
      </w:r>
      <w:proofErr w:type="spellStart"/>
      <w:r w:rsidRPr="006E00B8">
        <w:rPr>
          <w:rFonts w:ascii="Marianne" w:hAnsi="Marianne"/>
          <w:color w:val="4472C4" w:themeColor="accent1"/>
          <w:sz w:val="20"/>
          <w:szCs w:val="20"/>
        </w:rPr>
        <w:t>Space</w:t>
      </w:r>
      <w:proofErr w:type="spellEnd"/>
      <w:r w:rsidRPr="006E00B8">
        <w:rPr>
          <w:rFonts w:ascii="Marianne" w:hAnsi="Marianne"/>
          <w:color w:val="4472C4" w:themeColor="accent1"/>
          <w:sz w:val="20"/>
          <w:szCs w:val="20"/>
        </w:rPr>
        <w:t xml:space="preserve"> 2 » (TEHDAS2) est action conjointe regroupant 29 pays européens et visant à élaborer des lignes directrices et spécifications techniques essentielles à la mise en œuvre du nouvel espace européen des données de santé (EEDS).</w:t>
      </w:r>
      <w:r w:rsidR="003B57EB" w:rsidRPr="006E00B8">
        <w:rPr>
          <w:rFonts w:ascii="Marianne" w:hAnsi="Marianne"/>
          <w:color w:val="4472C4" w:themeColor="accent1"/>
          <w:sz w:val="20"/>
          <w:szCs w:val="20"/>
        </w:rPr>
        <w:t xml:space="preserve"> </w:t>
      </w:r>
      <w:r w:rsidRPr="006E00B8">
        <w:rPr>
          <w:rFonts w:ascii="Marianne" w:hAnsi="Marianne"/>
          <w:color w:val="4472C4" w:themeColor="accent1"/>
          <w:sz w:val="20"/>
          <w:szCs w:val="20"/>
        </w:rPr>
        <w:t xml:space="preserve">Dans le cadre de </w:t>
      </w:r>
      <w:r w:rsidR="00AF20E1" w:rsidRPr="006E00B8">
        <w:rPr>
          <w:rFonts w:ascii="Marianne" w:hAnsi="Marianne"/>
          <w:color w:val="4472C4" w:themeColor="accent1"/>
          <w:sz w:val="20"/>
          <w:szCs w:val="20"/>
        </w:rPr>
        <w:t xml:space="preserve">TEHDAS 2 </w:t>
      </w:r>
      <w:r w:rsidRPr="006E00B8">
        <w:rPr>
          <w:rFonts w:ascii="Marianne" w:hAnsi="Marianne"/>
          <w:color w:val="4472C4" w:themeColor="accent1"/>
          <w:sz w:val="20"/>
          <w:szCs w:val="20"/>
        </w:rPr>
        <w:t>, des travaux sur les redevances sont en cours entre les différents pays européens. Cela aura notamment pour but de fixer des lignes directrices communes pour les futurs actes d’exécution de la Commission européenne.</w:t>
      </w:r>
      <w:r w:rsidR="00D35302">
        <w:rPr>
          <w:rFonts w:ascii="Marianne" w:hAnsi="Marianne"/>
          <w:color w:val="4472C4" w:themeColor="accent1"/>
          <w:sz w:val="20"/>
          <w:szCs w:val="20"/>
        </w:rPr>
        <w:t xml:space="preserve"> </w:t>
      </w:r>
      <w:r w:rsidR="00AF20E1" w:rsidRPr="006E00B8">
        <w:rPr>
          <w:rFonts w:ascii="Marianne" w:hAnsi="Marianne"/>
          <w:color w:val="4472C4" w:themeColor="accent1"/>
          <w:sz w:val="20"/>
          <w:szCs w:val="20"/>
        </w:rPr>
        <w:t>C</w:t>
      </w:r>
      <w:r w:rsidRPr="006E00B8">
        <w:rPr>
          <w:rFonts w:ascii="Marianne" w:hAnsi="Marianne"/>
          <w:color w:val="4472C4" w:themeColor="accent1"/>
          <w:sz w:val="20"/>
          <w:szCs w:val="20"/>
        </w:rPr>
        <w:t xml:space="preserve">es travaux </w:t>
      </w:r>
      <w:r w:rsidR="005A0DF0" w:rsidRPr="006E00B8">
        <w:rPr>
          <w:rFonts w:ascii="Marianne" w:hAnsi="Marianne"/>
          <w:color w:val="4472C4" w:themeColor="accent1"/>
          <w:sz w:val="20"/>
          <w:szCs w:val="20"/>
        </w:rPr>
        <w:t xml:space="preserve">auront </w:t>
      </w:r>
      <w:r w:rsidR="00AF20E1" w:rsidRPr="006E00B8">
        <w:rPr>
          <w:rFonts w:ascii="Marianne" w:hAnsi="Marianne"/>
          <w:color w:val="4472C4" w:themeColor="accent1"/>
          <w:sz w:val="20"/>
          <w:szCs w:val="20"/>
        </w:rPr>
        <w:t xml:space="preserve">donc </w:t>
      </w:r>
      <w:r w:rsidR="005A0DF0" w:rsidRPr="006E00B8">
        <w:rPr>
          <w:rFonts w:ascii="Marianne" w:hAnsi="Marianne"/>
          <w:color w:val="4472C4" w:themeColor="accent1"/>
          <w:sz w:val="20"/>
          <w:szCs w:val="20"/>
        </w:rPr>
        <w:t xml:space="preserve">pour objectif d’harmoniser les pratiques entre les différents EM. </w:t>
      </w:r>
    </w:p>
    <w:p w14:paraId="53A5A3F0" w14:textId="77777777" w:rsidR="00661ECF" w:rsidRPr="006E00B8" w:rsidRDefault="00661ECF" w:rsidP="006E00B8">
      <w:pPr>
        <w:jc w:val="both"/>
        <w:rPr>
          <w:rFonts w:ascii="Marianne" w:hAnsi="Marianne"/>
          <w:color w:val="4472C4" w:themeColor="accent1"/>
          <w:sz w:val="20"/>
          <w:szCs w:val="20"/>
        </w:rPr>
      </w:pPr>
    </w:p>
    <w:p w14:paraId="7C8C3129" w14:textId="2FEC64C1" w:rsidR="00757A29" w:rsidRPr="006E00B8" w:rsidRDefault="00757A29" w:rsidP="004C2917">
      <w:pPr>
        <w:pStyle w:val="Paragraphedeliste"/>
        <w:numPr>
          <w:ilvl w:val="0"/>
          <w:numId w:val="8"/>
        </w:numPr>
        <w:jc w:val="both"/>
        <w:rPr>
          <w:rFonts w:ascii="Marianne" w:hAnsi="Marianne"/>
          <w:b/>
          <w:bCs/>
          <w:sz w:val="20"/>
          <w:szCs w:val="20"/>
        </w:rPr>
      </w:pPr>
      <w:r w:rsidRPr="006E00B8">
        <w:rPr>
          <w:rFonts w:ascii="Marianne" w:hAnsi="Marianne"/>
          <w:b/>
          <w:bCs/>
          <w:sz w:val="20"/>
          <w:szCs w:val="20"/>
        </w:rPr>
        <w:t xml:space="preserve">Exercice des droits : </w:t>
      </w:r>
    </w:p>
    <w:p w14:paraId="2946DDA5" w14:textId="77777777" w:rsidR="00757A29" w:rsidRPr="006E00B8" w:rsidRDefault="00757A29" w:rsidP="004C2917">
      <w:pPr>
        <w:jc w:val="both"/>
        <w:rPr>
          <w:rFonts w:ascii="Marianne" w:hAnsi="Marianne"/>
          <w:sz w:val="20"/>
          <w:szCs w:val="20"/>
        </w:rPr>
      </w:pPr>
      <w:r w:rsidRPr="006E00B8">
        <w:rPr>
          <w:rFonts w:ascii="Marianne" w:hAnsi="Marianne"/>
          <w:sz w:val="20"/>
          <w:szCs w:val="20"/>
        </w:rPr>
        <w:t>Comment savoir en tant que patient comment je peux exercer mon droit ?</w:t>
      </w:r>
    </w:p>
    <w:p w14:paraId="0B63EA6A" w14:textId="007C5527" w:rsidR="00C26155" w:rsidRPr="006E00B8" w:rsidRDefault="00AF20E1" w:rsidP="006E00B8">
      <w:pPr>
        <w:jc w:val="both"/>
        <w:rPr>
          <w:rFonts w:ascii="Marianne" w:hAnsi="Marianne"/>
          <w:color w:val="4472C4" w:themeColor="accent1"/>
          <w:sz w:val="20"/>
          <w:szCs w:val="20"/>
        </w:rPr>
      </w:pPr>
      <w:r w:rsidRPr="006E00B8">
        <w:rPr>
          <w:rFonts w:ascii="Marianne" w:hAnsi="Marianne"/>
          <w:color w:val="4472C4" w:themeColor="accent1"/>
          <w:sz w:val="20"/>
          <w:szCs w:val="20"/>
        </w:rPr>
        <w:t xml:space="preserve">L’ORAD devra mettre en place </w:t>
      </w:r>
      <w:r w:rsidR="00880984" w:rsidRPr="006E00B8">
        <w:rPr>
          <w:rFonts w:ascii="Marianne" w:hAnsi="Marianne"/>
          <w:color w:val="4472C4" w:themeColor="accent1"/>
          <w:sz w:val="20"/>
          <w:szCs w:val="20"/>
        </w:rPr>
        <w:t xml:space="preserve">et maintenir un système d’information </w:t>
      </w:r>
      <w:r w:rsidR="00E23A24" w:rsidRPr="006E00B8">
        <w:rPr>
          <w:rFonts w:ascii="Marianne" w:hAnsi="Marianne"/>
          <w:color w:val="4472C4" w:themeColor="accent1"/>
          <w:sz w:val="20"/>
          <w:szCs w:val="20"/>
        </w:rPr>
        <w:t>par voie électronique où les personnes physiques pour effectivement exercer leur droit de refuser à tout moment et sans motif le traitement des données de santé électroniques à caractère personnel les concernant à des fins d’utilisation secondaire</w:t>
      </w:r>
      <w:r w:rsidR="00EE0B44" w:rsidRPr="006E00B8">
        <w:rPr>
          <w:rFonts w:ascii="Marianne" w:hAnsi="Marianne"/>
          <w:color w:val="4472C4" w:themeColor="accent1"/>
          <w:sz w:val="20"/>
          <w:szCs w:val="20"/>
        </w:rPr>
        <w:t xml:space="preserve"> </w:t>
      </w:r>
      <w:r w:rsidR="00880984" w:rsidRPr="006E00B8">
        <w:rPr>
          <w:rFonts w:ascii="Marianne" w:hAnsi="Marianne"/>
          <w:color w:val="4472C4" w:themeColor="accent1"/>
          <w:sz w:val="20"/>
          <w:szCs w:val="20"/>
        </w:rPr>
        <w:t>(Article 51 1)f)</w:t>
      </w:r>
      <w:r w:rsidR="00EE0B44" w:rsidRPr="006E00B8">
        <w:rPr>
          <w:rFonts w:ascii="Marianne" w:hAnsi="Marianne"/>
          <w:color w:val="4472C4" w:themeColor="accent1"/>
          <w:sz w:val="20"/>
          <w:szCs w:val="20"/>
        </w:rPr>
        <w:t xml:space="preserve">, </w:t>
      </w:r>
      <w:r w:rsidR="00880984" w:rsidRPr="006E00B8">
        <w:rPr>
          <w:rFonts w:ascii="Marianne" w:hAnsi="Marianne"/>
          <w:color w:val="4472C4" w:themeColor="accent1"/>
          <w:sz w:val="20"/>
          <w:szCs w:val="20"/>
        </w:rPr>
        <w:t>Article 58)</w:t>
      </w:r>
      <w:r w:rsidR="00EE0B44" w:rsidRPr="004C2917">
        <w:rPr>
          <w:rFonts w:ascii="Marianne" w:hAnsi="Marianne" w:cs="Cambria"/>
          <w:color w:val="4472C4" w:themeColor="accent1"/>
          <w:sz w:val="20"/>
          <w:szCs w:val="20"/>
        </w:rPr>
        <w:t>.</w:t>
      </w:r>
      <w:r w:rsidR="00880984" w:rsidRPr="006E00B8">
        <w:rPr>
          <w:rFonts w:ascii="Marianne" w:hAnsi="Marianne"/>
          <w:color w:val="4472C4" w:themeColor="accent1"/>
          <w:sz w:val="20"/>
          <w:szCs w:val="20"/>
        </w:rPr>
        <w:t xml:space="preserve"> </w:t>
      </w:r>
      <w:r w:rsidR="00C26155" w:rsidRPr="006E00B8">
        <w:rPr>
          <w:rFonts w:ascii="Marianne" w:hAnsi="Marianne"/>
          <w:color w:val="4472C4" w:themeColor="accent1"/>
          <w:sz w:val="20"/>
          <w:szCs w:val="20"/>
        </w:rPr>
        <w:t xml:space="preserve">Les États membres </w:t>
      </w:r>
      <w:r w:rsidR="00C26155" w:rsidRPr="006E00B8">
        <w:rPr>
          <w:rFonts w:ascii="Marianne" w:hAnsi="Marianne"/>
          <w:color w:val="4472C4" w:themeColor="accent1"/>
          <w:sz w:val="20"/>
          <w:szCs w:val="20"/>
        </w:rPr>
        <w:lastRenderedPageBreak/>
        <w:t>devront prévoir un mécanisme de refus accessible et facilement compréhensible permettant d’exercer le droit de refus pour les personnes physiques</w:t>
      </w:r>
      <w:r w:rsidR="001D6CF4" w:rsidRPr="006E00B8">
        <w:rPr>
          <w:rFonts w:ascii="Marianne" w:hAnsi="Marianne"/>
          <w:color w:val="4472C4" w:themeColor="accent1"/>
          <w:sz w:val="20"/>
          <w:szCs w:val="20"/>
        </w:rPr>
        <w:t>.</w:t>
      </w:r>
    </w:p>
    <w:p w14:paraId="6BD05264" w14:textId="0C9729FD" w:rsidR="00FF5E5F" w:rsidRPr="006E00B8" w:rsidRDefault="00FF5E5F" w:rsidP="006E00B8">
      <w:pPr>
        <w:jc w:val="both"/>
        <w:rPr>
          <w:rFonts w:ascii="Marianne" w:hAnsi="Marianne"/>
          <w:color w:val="4472C4" w:themeColor="accent1"/>
          <w:sz w:val="20"/>
          <w:szCs w:val="20"/>
        </w:rPr>
      </w:pPr>
      <w:r w:rsidRPr="006E00B8">
        <w:rPr>
          <w:rFonts w:ascii="Marianne" w:hAnsi="Marianne"/>
          <w:color w:val="4472C4" w:themeColor="accent1"/>
          <w:sz w:val="20"/>
          <w:szCs w:val="20"/>
        </w:rPr>
        <w:t>Au niveau national, l’objectif 2 de la stratégie vise à simplifier l’exercice des droits et améliorer l’information des citoyens avec un sous objectif 2-1 dédié à centraliser les droits et l’information des personnes concernées.</w:t>
      </w:r>
      <w:r w:rsidR="00C65ABE">
        <w:rPr>
          <w:rFonts w:ascii="Marianne" w:hAnsi="Marianne"/>
          <w:color w:val="4472C4" w:themeColor="accent1"/>
          <w:sz w:val="20"/>
          <w:szCs w:val="20"/>
        </w:rPr>
        <w:t xml:space="preserve"> Des travaux sont en cours pour approfondir ces sujets et permettre une information intelligible et un exercice effectif des droits des patients.</w:t>
      </w:r>
    </w:p>
    <w:p w14:paraId="63B508EF" w14:textId="00EDAF79" w:rsidR="00C26155" w:rsidRPr="006E00B8" w:rsidRDefault="00CA72EB" w:rsidP="004C2917">
      <w:pPr>
        <w:jc w:val="both"/>
        <w:rPr>
          <w:rFonts w:ascii="Marianne" w:hAnsi="Marianne"/>
          <w:color w:val="000000" w:themeColor="text1"/>
          <w:sz w:val="20"/>
          <w:szCs w:val="20"/>
        </w:rPr>
      </w:pPr>
      <w:r w:rsidRPr="006E00B8">
        <w:rPr>
          <w:rFonts w:ascii="Marianne" w:hAnsi="Marianne"/>
          <w:color w:val="000000" w:themeColor="text1"/>
          <w:sz w:val="20"/>
          <w:szCs w:val="20"/>
        </w:rPr>
        <w:t xml:space="preserve">Est-ce que le </w:t>
      </w:r>
      <w:r w:rsidR="00C26155" w:rsidRPr="006E00B8">
        <w:rPr>
          <w:rFonts w:ascii="Marianne" w:hAnsi="Marianne"/>
          <w:color w:val="000000" w:themeColor="text1"/>
          <w:sz w:val="20"/>
          <w:szCs w:val="20"/>
        </w:rPr>
        <w:t>droit de refus</w:t>
      </w:r>
      <w:r w:rsidRPr="006E00B8">
        <w:rPr>
          <w:rFonts w:ascii="Marianne" w:hAnsi="Marianne"/>
          <w:color w:val="000000" w:themeColor="text1"/>
          <w:sz w:val="20"/>
          <w:szCs w:val="20"/>
        </w:rPr>
        <w:t xml:space="preserve"> est</w:t>
      </w:r>
      <w:r w:rsidR="00C26155" w:rsidRPr="006E00B8">
        <w:rPr>
          <w:rFonts w:ascii="Marianne" w:hAnsi="Marianne"/>
          <w:color w:val="000000" w:themeColor="text1"/>
          <w:sz w:val="20"/>
          <w:szCs w:val="20"/>
        </w:rPr>
        <w:t xml:space="preserve"> à la carte</w:t>
      </w:r>
      <w:r w:rsidR="00C26155" w:rsidRPr="006E00B8">
        <w:rPr>
          <w:rFonts w:ascii="Cambria" w:hAnsi="Cambria" w:cs="Cambria"/>
          <w:color w:val="000000" w:themeColor="text1"/>
          <w:sz w:val="20"/>
          <w:szCs w:val="20"/>
        </w:rPr>
        <w:t> </w:t>
      </w:r>
      <w:r w:rsidR="00C26155" w:rsidRPr="006E00B8">
        <w:rPr>
          <w:rFonts w:ascii="Marianne" w:hAnsi="Marianne"/>
          <w:color w:val="000000" w:themeColor="text1"/>
          <w:sz w:val="20"/>
          <w:szCs w:val="20"/>
        </w:rPr>
        <w:t>?</w:t>
      </w:r>
    </w:p>
    <w:p w14:paraId="0BED4995" w14:textId="356F3758" w:rsidR="004524D8" w:rsidRPr="006E00B8" w:rsidRDefault="004524D8" w:rsidP="006E00B8">
      <w:pPr>
        <w:jc w:val="both"/>
        <w:rPr>
          <w:rFonts w:ascii="Marianne" w:hAnsi="Marianne"/>
          <w:color w:val="4472C4" w:themeColor="accent1"/>
          <w:sz w:val="20"/>
          <w:szCs w:val="20"/>
        </w:rPr>
      </w:pPr>
      <w:r w:rsidRPr="004524D8">
        <w:rPr>
          <w:rFonts w:ascii="Marianne" w:hAnsi="Marianne"/>
          <w:color w:val="4472C4" w:themeColor="accent1"/>
          <w:sz w:val="20"/>
          <w:szCs w:val="20"/>
        </w:rPr>
        <w:t>Les personnes physiques ont le droit de refuser à tout moment et sans motif le traitement des données de santé électroniques à caractère personnel les concernant à des fins d’utilisation secondaire au titre du présent règlement. Par ailleurs, l'exercice de ce droit est réversible.</w:t>
      </w:r>
      <w:r>
        <w:rPr>
          <w:rFonts w:ascii="Marianne" w:hAnsi="Marianne"/>
          <w:color w:val="4472C4" w:themeColor="accent1"/>
          <w:sz w:val="20"/>
          <w:szCs w:val="20"/>
        </w:rPr>
        <w:t xml:space="preserve"> </w:t>
      </w:r>
      <w:r w:rsidRPr="004524D8">
        <w:rPr>
          <w:rFonts w:ascii="Marianne" w:hAnsi="Marianne"/>
          <w:color w:val="4472C4" w:themeColor="accent1"/>
          <w:sz w:val="20"/>
          <w:szCs w:val="20"/>
        </w:rPr>
        <w:t xml:space="preserve">Néanmoins, il est important de préciser que les </w:t>
      </w:r>
      <w:proofErr w:type="spellStart"/>
      <w:r w:rsidRPr="004524D8">
        <w:rPr>
          <w:rFonts w:ascii="Marianne" w:hAnsi="Marianne"/>
          <w:color w:val="4472C4" w:themeColor="accent1"/>
          <w:sz w:val="20"/>
          <w:szCs w:val="20"/>
        </w:rPr>
        <w:t>Etats</w:t>
      </w:r>
      <w:proofErr w:type="spellEnd"/>
      <w:r w:rsidRPr="004524D8">
        <w:rPr>
          <w:rFonts w:ascii="Marianne" w:hAnsi="Marianne"/>
          <w:color w:val="4472C4" w:themeColor="accent1"/>
          <w:sz w:val="20"/>
          <w:szCs w:val="20"/>
        </w:rPr>
        <w:t xml:space="preserve"> membres disposent d'une marge de manœuvre et pourront écarter ce droit de refus selon certaines conditions limitatives et strictement encadrées par le règlement.</w:t>
      </w:r>
    </w:p>
    <w:p w14:paraId="23DAEB18" w14:textId="77777777" w:rsidR="00757A29" w:rsidRPr="006E00B8" w:rsidRDefault="00757A29" w:rsidP="004C2917">
      <w:pPr>
        <w:jc w:val="both"/>
        <w:rPr>
          <w:rFonts w:ascii="Marianne" w:hAnsi="Marianne"/>
          <w:sz w:val="20"/>
          <w:szCs w:val="20"/>
        </w:rPr>
      </w:pPr>
      <w:r w:rsidRPr="006E00B8">
        <w:rPr>
          <w:rFonts w:ascii="Marianne" w:hAnsi="Marianne"/>
          <w:sz w:val="20"/>
          <w:szCs w:val="20"/>
        </w:rPr>
        <w:t xml:space="preserve">Est-ce que le patient peut s'opposer à l'utilisation de ses données pour un entraînement d’IA ? </w:t>
      </w:r>
    </w:p>
    <w:p w14:paraId="2079CA84" w14:textId="523D9B65" w:rsidR="00757A29" w:rsidRDefault="00C26155" w:rsidP="004C2917">
      <w:pPr>
        <w:jc w:val="both"/>
        <w:rPr>
          <w:rFonts w:ascii="Marianne" w:hAnsi="Marianne"/>
          <w:color w:val="4472C4" w:themeColor="accent1"/>
          <w:sz w:val="20"/>
          <w:szCs w:val="20"/>
        </w:rPr>
      </w:pPr>
      <w:r w:rsidRPr="006E00B8">
        <w:rPr>
          <w:rFonts w:ascii="Marianne" w:hAnsi="Marianne"/>
          <w:color w:val="4472C4" w:themeColor="accent1"/>
          <w:sz w:val="20"/>
          <w:szCs w:val="20"/>
        </w:rPr>
        <w:t>Oui</w:t>
      </w:r>
      <w:r w:rsidR="00460333" w:rsidRPr="006E00B8">
        <w:rPr>
          <w:rFonts w:ascii="Marianne" w:hAnsi="Marianne"/>
          <w:color w:val="4472C4" w:themeColor="accent1"/>
          <w:sz w:val="20"/>
          <w:szCs w:val="20"/>
        </w:rPr>
        <w:t>,</w:t>
      </w:r>
      <w:r w:rsidRPr="006E00B8">
        <w:rPr>
          <w:rFonts w:ascii="Marianne" w:hAnsi="Marianne"/>
          <w:color w:val="4472C4" w:themeColor="accent1"/>
          <w:sz w:val="20"/>
          <w:szCs w:val="20"/>
        </w:rPr>
        <w:t xml:space="preserve"> le patient pourra décider de s’opposer à l’utilisation de ses données pour un entrainement d’IA dès lors</w:t>
      </w:r>
      <w:r w:rsidR="00082809">
        <w:rPr>
          <w:rFonts w:ascii="Marianne" w:hAnsi="Marianne"/>
          <w:color w:val="4472C4" w:themeColor="accent1"/>
          <w:sz w:val="20"/>
          <w:szCs w:val="20"/>
        </w:rPr>
        <w:t xml:space="preserve"> que le droit de refus s’exerce dans les conditions prévues par le règlement.</w:t>
      </w:r>
      <w:r w:rsidRPr="006E00B8">
        <w:rPr>
          <w:rFonts w:ascii="Marianne" w:hAnsi="Marianne"/>
          <w:color w:val="4472C4" w:themeColor="accent1"/>
          <w:sz w:val="20"/>
          <w:szCs w:val="20"/>
        </w:rPr>
        <w:t xml:space="preserve"> </w:t>
      </w:r>
    </w:p>
    <w:p w14:paraId="4E33C637" w14:textId="77777777" w:rsidR="00661ECF" w:rsidRPr="006E00B8" w:rsidRDefault="00661ECF" w:rsidP="004C2917">
      <w:pPr>
        <w:jc w:val="both"/>
        <w:rPr>
          <w:rFonts w:ascii="Marianne" w:hAnsi="Marianne"/>
          <w:color w:val="4472C4" w:themeColor="accent1"/>
          <w:sz w:val="20"/>
          <w:szCs w:val="20"/>
        </w:rPr>
      </w:pPr>
    </w:p>
    <w:p w14:paraId="7B5AF8C6" w14:textId="77777777" w:rsidR="00757A29" w:rsidRPr="006E00B8" w:rsidRDefault="00757A29" w:rsidP="004C2917">
      <w:pPr>
        <w:pStyle w:val="Paragraphedeliste"/>
        <w:numPr>
          <w:ilvl w:val="0"/>
          <w:numId w:val="8"/>
        </w:numPr>
        <w:jc w:val="both"/>
        <w:rPr>
          <w:rFonts w:ascii="Marianne" w:hAnsi="Marianne"/>
          <w:b/>
          <w:bCs/>
          <w:sz w:val="20"/>
          <w:szCs w:val="20"/>
        </w:rPr>
      </w:pPr>
      <w:r w:rsidRPr="006E00B8">
        <w:rPr>
          <w:rFonts w:ascii="Marianne" w:hAnsi="Marianne"/>
          <w:b/>
          <w:bCs/>
          <w:sz w:val="20"/>
          <w:szCs w:val="20"/>
        </w:rPr>
        <w:t xml:space="preserve">Intelligence artificielle : </w:t>
      </w:r>
    </w:p>
    <w:p w14:paraId="6C06C76D" w14:textId="77777777" w:rsidR="00757A29" w:rsidRPr="006E00B8" w:rsidRDefault="00757A29" w:rsidP="004C2917">
      <w:pPr>
        <w:jc w:val="both"/>
        <w:rPr>
          <w:rFonts w:ascii="Marianne" w:hAnsi="Marianne"/>
          <w:sz w:val="20"/>
          <w:szCs w:val="20"/>
        </w:rPr>
      </w:pPr>
      <w:r w:rsidRPr="006E00B8">
        <w:rPr>
          <w:rFonts w:ascii="Marianne" w:hAnsi="Marianne"/>
          <w:sz w:val="20"/>
          <w:szCs w:val="20"/>
        </w:rPr>
        <w:t>Que prévoit le règlement pour le traitement des IA ?</w:t>
      </w:r>
    </w:p>
    <w:p w14:paraId="152F99B1" w14:textId="033008DE" w:rsidR="00C26155" w:rsidRPr="006E00B8" w:rsidRDefault="00C26155" w:rsidP="006E00B8">
      <w:pPr>
        <w:jc w:val="both"/>
        <w:rPr>
          <w:rFonts w:ascii="Marianne" w:hAnsi="Marianne"/>
          <w:color w:val="4472C4" w:themeColor="accent1"/>
          <w:sz w:val="20"/>
          <w:szCs w:val="20"/>
        </w:rPr>
      </w:pPr>
      <w:r w:rsidRPr="006E00B8">
        <w:rPr>
          <w:rFonts w:ascii="Marianne" w:hAnsi="Marianne"/>
          <w:color w:val="4472C4" w:themeColor="accent1"/>
          <w:sz w:val="20"/>
          <w:szCs w:val="20"/>
        </w:rPr>
        <w:t>Le règlement EEDS prévoit que les données de santé électronique</w:t>
      </w:r>
      <w:r w:rsidR="005F5538" w:rsidRPr="006E00B8">
        <w:rPr>
          <w:rFonts w:ascii="Marianne" w:hAnsi="Marianne"/>
          <w:color w:val="4472C4" w:themeColor="accent1"/>
          <w:sz w:val="20"/>
          <w:szCs w:val="20"/>
        </w:rPr>
        <w:t>s</w:t>
      </w:r>
      <w:r w:rsidRPr="006E00B8">
        <w:rPr>
          <w:rFonts w:ascii="Marianne" w:hAnsi="Marianne"/>
          <w:color w:val="4472C4" w:themeColor="accent1"/>
          <w:sz w:val="20"/>
          <w:szCs w:val="20"/>
        </w:rPr>
        <w:t xml:space="preserve"> pourront servir dans le cadre de la recherche scientifique pour «</w:t>
      </w:r>
      <w:r w:rsidRPr="006E00B8">
        <w:rPr>
          <w:rFonts w:ascii="Cambria" w:hAnsi="Cambria" w:cs="Cambria"/>
          <w:color w:val="4472C4" w:themeColor="accent1"/>
          <w:sz w:val="20"/>
          <w:szCs w:val="20"/>
        </w:rPr>
        <w:t> </w:t>
      </w:r>
      <w:r w:rsidR="00CA72EB" w:rsidRPr="006E00B8">
        <w:rPr>
          <w:rFonts w:ascii="Marianne" w:hAnsi="Marianne"/>
          <w:i/>
          <w:iCs/>
          <w:color w:val="4472C4" w:themeColor="accent1"/>
          <w:sz w:val="20"/>
          <w:szCs w:val="20"/>
        </w:rPr>
        <w:t>la formation</w:t>
      </w:r>
      <w:r w:rsidRPr="006E00B8">
        <w:rPr>
          <w:rFonts w:ascii="Marianne" w:hAnsi="Marianne"/>
          <w:i/>
          <w:iCs/>
          <w:color w:val="4472C4" w:themeColor="accent1"/>
          <w:sz w:val="20"/>
          <w:szCs w:val="20"/>
        </w:rPr>
        <w:t>, les essais et l’évaluation d’algorithmes, notamment dans les dispositifs médicaux, les dispositifs médicaux de diagnostic in vitro, les systèmes d’IA et les applications de santé numériqu</w:t>
      </w:r>
      <w:r w:rsidR="005F5538" w:rsidRPr="006E00B8">
        <w:rPr>
          <w:rFonts w:ascii="Marianne" w:hAnsi="Marianne"/>
          <w:color w:val="4472C4" w:themeColor="accent1"/>
          <w:sz w:val="20"/>
          <w:szCs w:val="20"/>
        </w:rPr>
        <w:t>e</w:t>
      </w:r>
      <w:r w:rsidRPr="006E00B8">
        <w:rPr>
          <w:rFonts w:ascii="Cambria" w:hAnsi="Cambria" w:cs="Cambria"/>
          <w:color w:val="4472C4" w:themeColor="accent1"/>
          <w:sz w:val="20"/>
          <w:szCs w:val="20"/>
        </w:rPr>
        <w:t> </w:t>
      </w:r>
      <w:r w:rsidRPr="006E00B8">
        <w:rPr>
          <w:rFonts w:ascii="Marianne" w:hAnsi="Marianne"/>
          <w:color w:val="4472C4" w:themeColor="accent1"/>
          <w:sz w:val="20"/>
          <w:szCs w:val="20"/>
        </w:rPr>
        <w:t>»</w:t>
      </w:r>
      <w:r w:rsidR="00880984" w:rsidRPr="006E00B8">
        <w:rPr>
          <w:rFonts w:ascii="Marianne" w:hAnsi="Marianne"/>
          <w:color w:val="4472C4" w:themeColor="accent1"/>
          <w:sz w:val="20"/>
          <w:szCs w:val="20"/>
        </w:rPr>
        <w:t xml:space="preserve"> (Article 53 : Finalités pour lesquelles des données de santé électroniques peuvent être traitées à des fins d’utilisation secondaire</w:t>
      </w:r>
      <w:r w:rsidR="00E02109" w:rsidRPr="006E00B8">
        <w:rPr>
          <w:rFonts w:ascii="Marianne" w:hAnsi="Marianne"/>
          <w:color w:val="4472C4" w:themeColor="accent1"/>
          <w:sz w:val="20"/>
          <w:szCs w:val="20"/>
        </w:rPr>
        <w:t>)</w:t>
      </w:r>
      <w:r w:rsidR="00F51767">
        <w:rPr>
          <w:rFonts w:ascii="Marianne" w:hAnsi="Marianne"/>
          <w:color w:val="4472C4" w:themeColor="accent1"/>
          <w:sz w:val="20"/>
          <w:szCs w:val="20"/>
        </w:rPr>
        <w:t>.</w:t>
      </w:r>
    </w:p>
    <w:p w14:paraId="5B1D9868" w14:textId="77777777" w:rsidR="00757A29" w:rsidRPr="006E00B8" w:rsidRDefault="00757A29" w:rsidP="004C2917">
      <w:pPr>
        <w:jc w:val="both"/>
        <w:rPr>
          <w:rFonts w:ascii="Marianne" w:hAnsi="Marianne"/>
          <w:sz w:val="20"/>
          <w:szCs w:val="20"/>
        </w:rPr>
      </w:pPr>
      <w:r w:rsidRPr="006E00B8">
        <w:rPr>
          <w:rFonts w:ascii="Marianne" w:hAnsi="Marianne"/>
          <w:sz w:val="20"/>
          <w:szCs w:val="20"/>
        </w:rPr>
        <w:t>Est-ce que les données synthétiques sont visées par le règlement ?</w:t>
      </w:r>
    </w:p>
    <w:p w14:paraId="42681026" w14:textId="2B9490FA" w:rsidR="005F5538" w:rsidRPr="006E00B8" w:rsidRDefault="00C26155" w:rsidP="006E00B8">
      <w:pPr>
        <w:jc w:val="both"/>
        <w:rPr>
          <w:rFonts w:ascii="Marianne" w:hAnsi="Marianne"/>
          <w:color w:val="4472C4" w:themeColor="accent1"/>
          <w:sz w:val="20"/>
          <w:szCs w:val="20"/>
        </w:rPr>
      </w:pPr>
      <w:r w:rsidRPr="006E00B8">
        <w:rPr>
          <w:rFonts w:ascii="Marianne" w:hAnsi="Marianne"/>
          <w:color w:val="4472C4" w:themeColor="accent1"/>
          <w:sz w:val="20"/>
          <w:szCs w:val="20"/>
        </w:rPr>
        <w:t>Les données synthétiques ne sont pas visées par le règlement EEDS</w:t>
      </w:r>
      <w:r w:rsidR="002001E2" w:rsidRPr="006E00B8">
        <w:rPr>
          <w:rFonts w:ascii="Marianne" w:hAnsi="Marianne"/>
          <w:color w:val="4472C4" w:themeColor="accent1"/>
          <w:sz w:val="20"/>
          <w:szCs w:val="20"/>
        </w:rPr>
        <w:t xml:space="preserve"> mais leur utilisation soulève de nombreuses questions. La stratégie a consacré en ce sens un objectif dédié à l’approfondissement de ces questions (Objectif 9-3 Explorer la piste de l’utilisation de données synthétiques pour simplifier les procédures).</w:t>
      </w:r>
    </w:p>
    <w:p w14:paraId="2C9FF8CA" w14:textId="77777777" w:rsidR="005F5538" w:rsidRPr="000A1FBF" w:rsidRDefault="005F5538" w:rsidP="00757A29">
      <w:pPr>
        <w:rPr>
          <w:rFonts w:ascii="Marianne" w:hAnsi="Marianne"/>
          <w:sz w:val="20"/>
          <w:szCs w:val="20"/>
        </w:rPr>
      </w:pPr>
    </w:p>
    <w:sectPr w:rsidR="005F5538" w:rsidRPr="000A1FB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0A18D" w14:textId="77777777" w:rsidR="00BB7127" w:rsidRDefault="00BB7127" w:rsidP="005F5538">
      <w:pPr>
        <w:spacing w:after="0" w:line="240" w:lineRule="auto"/>
      </w:pPr>
      <w:r>
        <w:separator/>
      </w:r>
    </w:p>
  </w:endnote>
  <w:endnote w:type="continuationSeparator" w:id="0">
    <w:p w14:paraId="48D9E362" w14:textId="77777777" w:rsidR="00BB7127" w:rsidRDefault="00BB7127" w:rsidP="005F5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altName w:val="Calibri"/>
    <w:panose1 w:val="020B0604020202020204"/>
    <w:charset w:val="00"/>
    <w:family w:val="auto"/>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203838235"/>
      <w:docPartObj>
        <w:docPartGallery w:val="Page Numbers (Bottom of Page)"/>
        <w:docPartUnique/>
      </w:docPartObj>
    </w:sdtPr>
    <w:sdtEndPr>
      <w:rPr>
        <w:rStyle w:val="Numrodepage"/>
      </w:rPr>
    </w:sdtEndPr>
    <w:sdtContent>
      <w:p w14:paraId="2DE9AB22" w14:textId="3C83B5C5" w:rsidR="005F5538" w:rsidRDefault="005F5538" w:rsidP="003151E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D22DF9F" w14:textId="77777777" w:rsidR="005F5538" w:rsidRDefault="005F553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881926031"/>
      <w:docPartObj>
        <w:docPartGallery w:val="Page Numbers (Bottom of Page)"/>
        <w:docPartUnique/>
      </w:docPartObj>
    </w:sdtPr>
    <w:sdtEndPr>
      <w:rPr>
        <w:rStyle w:val="Numrodepage"/>
      </w:rPr>
    </w:sdtEndPr>
    <w:sdtContent>
      <w:p w14:paraId="4B22E0A7" w14:textId="21E18572" w:rsidR="005F5538" w:rsidRDefault="005F5538" w:rsidP="003151E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66399C02" w14:textId="77777777" w:rsidR="005F5538" w:rsidRDefault="005F553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DE73A" w14:textId="77777777" w:rsidR="00266A12" w:rsidRDefault="00266A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AB05E" w14:textId="77777777" w:rsidR="00BB7127" w:rsidRDefault="00BB7127" w:rsidP="005F5538">
      <w:pPr>
        <w:spacing w:after="0" w:line="240" w:lineRule="auto"/>
      </w:pPr>
      <w:r>
        <w:separator/>
      </w:r>
    </w:p>
  </w:footnote>
  <w:footnote w:type="continuationSeparator" w:id="0">
    <w:p w14:paraId="0FA32B72" w14:textId="77777777" w:rsidR="00BB7127" w:rsidRDefault="00BB7127" w:rsidP="005F5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30513" w14:textId="77777777" w:rsidR="00266A12" w:rsidRDefault="00266A1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FAF00" w14:textId="1F15B287" w:rsidR="00266A12" w:rsidRDefault="00266A12" w:rsidP="004C2917">
    <w:pPr>
      <w:pStyle w:val="En-tte"/>
      <w:jc w:val="right"/>
    </w:pPr>
    <w:r w:rsidRPr="00266A12">
      <w:rPr>
        <w:noProof/>
      </w:rPr>
      <w:drawing>
        <wp:inline distT="0" distB="0" distL="0" distR="0" wp14:anchorId="1E6EA569" wp14:editId="50A3B982">
          <wp:extent cx="1614923" cy="998540"/>
          <wp:effectExtent l="0" t="0" r="0" b="5080"/>
          <wp:docPr id="2028276745" name="Image 1" descr="Une image contenant diagramme, ligne, conception, origami&#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76745" name="Image 1" descr="Une image contenant diagramme, ligne, conception, origami&#10;&#10;Description générée automatiquement"/>
                  <pic:cNvPicPr/>
                </pic:nvPicPr>
                <pic:blipFill>
                  <a:blip r:embed="rId1"/>
                  <a:stretch>
                    <a:fillRect/>
                  </a:stretch>
                </pic:blipFill>
                <pic:spPr>
                  <a:xfrm>
                    <a:off x="0" y="0"/>
                    <a:ext cx="1623774" cy="100401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F0DCB" w14:textId="77777777" w:rsidR="00266A12" w:rsidRDefault="00266A1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947C0"/>
    <w:multiLevelType w:val="hybridMultilevel"/>
    <w:tmpl w:val="07882EFA"/>
    <w:lvl w:ilvl="0" w:tplc="C212DC2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1A4EB1"/>
    <w:multiLevelType w:val="hybridMultilevel"/>
    <w:tmpl w:val="4C0023EA"/>
    <w:lvl w:ilvl="0" w:tplc="32C2CD22">
      <w:start w:val="1"/>
      <w:numFmt w:val="bullet"/>
      <w:lvlText w:val="•"/>
      <w:lvlJc w:val="left"/>
      <w:pPr>
        <w:tabs>
          <w:tab w:val="num" w:pos="720"/>
        </w:tabs>
        <w:ind w:left="720" w:hanging="360"/>
      </w:pPr>
      <w:rPr>
        <w:rFonts w:ascii="Arial" w:hAnsi="Arial" w:hint="default"/>
      </w:rPr>
    </w:lvl>
    <w:lvl w:ilvl="1" w:tplc="41AE313A" w:tentative="1">
      <w:start w:val="1"/>
      <w:numFmt w:val="bullet"/>
      <w:lvlText w:val="•"/>
      <w:lvlJc w:val="left"/>
      <w:pPr>
        <w:tabs>
          <w:tab w:val="num" w:pos="1440"/>
        </w:tabs>
        <w:ind w:left="1440" w:hanging="360"/>
      </w:pPr>
      <w:rPr>
        <w:rFonts w:ascii="Arial" w:hAnsi="Arial" w:hint="default"/>
      </w:rPr>
    </w:lvl>
    <w:lvl w:ilvl="2" w:tplc="FF6A19AC" w:tentative="1">
      <w:start w:val="1"/>
      <w:numFmt w:val="bullet"/>
      <w:lvlText w:val="•"/>
      <w:lvlJc w:val="left"/>
      <w:pPr>
        <w:tabs>
          <w:tab w:val="num" w:pos="2160"/>
        </w:tabs>
        <w:ind w:left="2160" w:hanging="360"/>
      </w:pPr>
      <w:rPr>
        <w:rFonts w:ascii="Arial" w:hAnsi="Arial" w:hint="default"/>
      </w:rPr>
    </w:lvl>
    <w:lvl w:ilvl="3" w:tplc="3308168E" w:tentative="1">
      <w:start w:val="1"/>
      <w:numFmt w:val="bullet"/>
      <w:lvlText w:val="•"/>
      <w:lvlJc w:val="left"/>
      <w:pPr>
        <w:tabs>
          <w:tab w:val="num" w:pos="2880"/>
        </w:tabs>
        <w:ind w:left="2880" w:hanging="360"/>
      </w:pPr>
      <w:rPr>
        <w:rFonts w:ascii="Arial" w:hAnsi="Arial" w:hint="default"/>
      </w:rPr>
    </w:lvl>
    <w:lvl w:ilvl="4" w:tplc="8F9CE808" w:tentative="1">
      <w:start w:val="1"/>
      <w:numFmt w:val="bullet"/>
      <w:lvlText w:val="•"/>
      <w:lvlJc w:val="left"/>
      <w:pPr>
        <w:tabs>
          <w:tab w:val="num" w:pos="3600"/>
        </w:tabs>
        <w:ind w:left="3600" w:hanging="360"/>
      </w:pPr>
      <w:rPr>
        <w:rFonts w:ascii="Arial" w:hAnsi="Arial" w:hint="default"/>
      </w:rPr>
    </w:lvl>
    <w:lvl w:ilvl="5" w:tplc="209444A6" w:tentative="1">
      <w:start w:val="1"/>
      <w:numFmt w:val="bullet"/>
      <w:lvlText w:val="•"/>
      <w:lvlJc w:val="left"/>
      <w:pPr>
        <w:tabs>
          <w:tab w:val="num" w:pos="4320"/>
        </w:tabs>
        <w:ind w:left="4320" w:hanging="360"/>
      </w:pPr>
      <w:rPr>
        <w:rFonts w:ascii="Arial" w:hAnsi="Arial" w:hint="default"/>
      </w:rPr>
    </w:lvl>
    <w:lvl w:ilvl="6" w:tplc="27BE2B72" w:tentative="1">
      <w:start w:val="1"/>
      <w:numFmt w:val="bullet"/>
      <w:lvlText w:val="•"/>
      <w:lvlJc w:val="left"/>
      <w:pPr>
        <w:tabs>
          <w:tab w:val="num" w:pos="5040"/>
        </w:tabs>
        <w:ind w:left="5040" w:hanging="360"/>
      </w:pPr>
      <w:rPr>
        <w:rFonts w:ascii="Arial" w:hAnsi="Arial" w:hint="default"/>
      </w:rPr>
    </w:lvl>
    <w:lvl w:ilvl="7" w:tplc="0C765162" w:tentative="1">
      <w:start w:val="1"/>
      <w:numFmt w:val="bullet"/>
      <w:lvlText w:val="•"/>
      <w:lvlJc w:val="left"/>
      <w:pPr>
        <w:tabs>
          <w:tab w:val="num" w:pos="5760"/>
        </w:tabs>
        <w:ind w:left="5760" w:hanging="360"/>
      </w:pPr>
      <w:rPr>
        <w:rFonts w:ascii="Arial" w:hAnsi="Arial" w:hint="default"/>
      </w:rPr>
    </w:lvl>
    <w:lvl w:ilvl="8" w:tplc="8604D5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585195"/>
    <w:multiLevelType w:val="hybridMultilevel"/>
    <w:tmpl w:val="076C14FC"/>
    <w:lvl w:ilvl="0" w:tplc="6AF82B04">
      <w:start w:val="1"/>
      <w:numFmt w:val="bullet"/>
      <w:lvlText w:val="•"/>
      <w:lvlJc w:val="left"/>
      <w:pPr>
        <w:tabs>
          <w:tab w:val="num" w:pos="720"/>
        </w:tabs>
        <w:ind w:left="720" w:hanging="360"/>
      </w:pPr>
      <w:rPr>
        <w:rFonts w:ascii="Arial" w:hAnsi="Arial" w:hint="default"/>
      </w:rPr>
    </w:lvl>
    <w:lvl w:ilvl="1" w:tplc="C3007D2A" w:tentative="1">
      <w:start w:val="1"/>
      <w:numFmt w:val="bullet"/>
      <w:lvlText w:val="•"/>
      <w:lvlJc w:val="left"/>
      <w:pPr>
        <w:tabs>
          <w:tab w:val="num" w:pos="1440"/>
        </w:tabs>
        <w:ind w:left="1440" w:hanging="360"/>
      </w:pPr>
      <w:rPr>
        <w:rFonts w:ascii="Arial" w:hAnsi="Arial" w:hint="default"/>
      </w:rPr>
    </w:lvl>
    <w:lvl w:ilvl="2" w:tplc="452863D2" w:tentative="1">
      <w:start w:val="1"/>
      <w:numFmt w:val="bullet"/>
      <w:lvlText w:val="•"/>
      <w:lvlJc w:val="left"/>
      <w:pPr>
        <w:tabs>
          <w:tab w:val="num" w:pos="2160"/>
        </w:tabs>
        <w:ind w:left="2160" w:hanging="360"/>
      </w:pPr>
      <w:rPr>
        <w:rFonts w:ascii="Arial" w:hAnsi="Arial" w:hint="default"/>
      </w:rPr>
    </w:lvl>
    <w:lvl w:ilvl="3" w:tplc="CEE604C8" w:tentative="1">
      <w:start w:val="1"/>
      <w:numFmt w:val="bullet"/>
      <w:lvlText w:val="•"/>
      <w:lvlJc w:val="left"/>
      <w:pPr>
        <w:tabs>
          <w:tab w:val="num" w:pos="2880"/>
        </w:tabs>
        <w:ind w:left="2880" w:hanging="360"/>
      </w:pPr>
      <w:rPr>
        <w:rFonts w:ascii="Arial" w:hAnsi="Arial" w:hint="default"/>
      </w:rPr>
    </w:lvl>
    <w:lvl w:ilvl="4" w:tplc="BF2235B4" w:tentative="1">
      <w:start w:val="1"/>
      <w:numFmt w:val="bullet"/>
      <w:lvlText w:val="•"/>
      <w:lvlJc w:val="left"/>
      <w:pPr>
        <w:tabs>
          <w:tab w:val="num" w:pos="3600"/>
        </w:tabs>
        <w:ind w:left="3600" w:hanging="360"/>
      </w:pPr>
      <w:rPr>
        <w:rFonts w:ascii="Arial" w:hAnsi="Arial" w:hint="default"/>
      </w:rPr>
    </w:lvl>
    <w:lvl w:ilvl="5" w:tplc="92D8EDAC" w:tentative="1">
      <w:start w:val="1"/>
      <w:numFmt w:val="bullet"/>
      <w:lvlText w:val="•"/>
      <w:lvlJc w:val="left"/>
      <w:pPr>
        <w:tabs>
          <w:tab w:val="num" w:pos="4320"/>
        </w:tabs>
        <w:ind w:left="4320" w:hanging="360"/>
      </w:pPr>
      <w:rPr>
        <w:rFonts w:ascii="Arial" w:hAnsi="Arial" w:hint="default"/>
      </w:rPr>
    </w:lvl>
    <w:lvl w:ilvl="6" w:tplc="92C86FE8" w:tentative="1">
      <w:start w:val="1"/>
      <w:numFmt w:val="bullet"/>
      <w:lvlText w:val="•"/>
      <w:lvlJc w:val="left"/>
      <w:pPr>
        <w:tabs>
          <w:tab w:val="num" w:pos="5040"/>
        </w:tabs>
        <w:ind w:left="5040" w:hanging="360"/>
      </w:pPr>
      <w:rPr>
        <w:rFonts w:ascii="Arial" w:hAnsi="Arial" w:hint="default"/>
      </w:rPr>
    </w:lvl>
    <w:lvl w:ilvl="7" w:tplc="9DBE1856" w:tentative="1">
      <w:start w:val="1"/>
      <w:numFmt w:val="bullet"/>
      <w:lvlText w:val="•"/>
      <w:lvlJc w:val="left"/>
      <w:pPr>
        <w:tabs>
          <w:tab w:val="num" w:pos="5760"/>
        </w:tabs>
        <w:ind w:left="5760" w:hanging="360"/>
      </w:pPr>
      <w:rPr>
        <w:rFonts w:ascii="Arial" w:hAnsi="Arial" w:hint="default"/>
      </w:rPr>
    </w:lvl>
    <w:lvl w:ilvl="8" w:tplc="09C8AA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25D2900"/>
    <w:multiLevelType w:val="hybridMultilevel"/>
    <w:tmpl w:val="18FE3AD8"/>
    <w:lvl w:ilvl="0" w:tplc="E8442FC8">
      <w:start w:val="1"/>
      <w:numFmt w:val="bullet"/>
      <w:lvlText w:val="•"/>
      <w:lvlJc w:val="left"/>
      <w:pPr>
        <w:tabs>
          <w:tab w:val="num" w:pos="720"/>
        </w:tabs>
        <w:ind w:left="720" w:hanging="360"/>
      </w:pPr>
      <w:rPr>
        <w:rFonts w:ascii="Arial" w:hAnsi="Arial" w:hint="default"/>
      </w:rPr>
    </w:lvl>
    <w:lvl w:ilvl="1" w:tplc="507AA760" w:tentative="1">
      <w:start w:val="1"/>
      <w:numFmt w:val="bullet"/>
      <w:lvlText w:val="•"/>
      <w:lvlJc w:val="left"/>
      <w:pPr>
        <w:tabs>
          <w:tab w:val="num" w:pos="1440"/>
        </w:tabs>
        <w:ind w:left="1440" w:hanging="360"/>
      </w:pPr>
      <w:rPr>
        <w:rFonts w:ascii="Arial" w:hAnsi="Arial" w:hint="default"/>
      </w:rPr>
    </w:lvl>
    <w:lvl w:ilvl="2" w:tplc="A5E261BE" w:tentative="1">
      <w:start w:val="1"/>
      <w:numFmt w:val="bullet"/>
      <w:lvlText w:val="•"/>
      <w:lvlJc w:val="left"/>
      <w:pPr>
        <w:tabs>
          <w:tab w:val="num" w:pos="2160"/>
        </w:tabs>
        <w:ind w:left="2160" w:hanging="360"/>
      </w:pPr>
      <w:rPr>
        <w:rFonts w:ascii="Arial" w:hAnsi="Arial" w:hint="default"/>
      </w:rPr>
    </w:lvl>
    <w:lvl w:ilvl="3" w:tplc="411C3806" w:tentative="1">
      <w:start w:val="1"/>
      <w:numFmt w:val="bullet"/>
      <w:lvlText w:val="•"/>
      <w:lvlJc w:val="left"/>
      <w:pPr>
        <w:tabs>
          <w:tab w:val="num" w:pos="2880"/>
        </w:tabs>
        <w:ind w:left="2880" w:hanging="360"/>
      </w:pPr>
      <w:rPr>
        <w:rFonts w:ascii="Arial" w:hAnsi="Arial" w:hint="default"/>
      </w:rPr>
    </w:lvl>
    <w:lvl w:ilvl="4" w:tplc="A1DCDCA6" w:tentative="1">
      <w:start w:val="1"/>
      <w:numFmt w:val="bullet"/>
      <w:lvlText w:val="•"/>
      <w:lvlJc w:val="left"/>
      <w:pPr>
        <w:tabs>
          <w:tab w:val="num" w:pos="3600"/>
        </w:tabs>
        <w:ind w:left="3600" w:hanging="360"/>
      </w:pPr>
      <w:rPr>
        <w:rFonts w:ascii="Arial" w:hAnsi="Arial" w:hint="default"/>
      </w:rPr>
    </w:lvl>
    <w:lvl w:ilvl="5" w:tplc="655A9C8A" w:tentative="1">
      <w:start w:val="1"/>
      <w:numFmt w:val="bullet"/>
      <w:lvlText w:val="•"/>
      <w:lvlJc w:val="left"/>
      <w:pPr>
        <w:tabs>
          <w:tab w:val="num" w:pos="4320"/>
        </w:tabs>
        <w:ind w:left="4320" w:hanging="360"/>
      </w:pPr>
      <w:rPr>
        <w:rFonts w:ascii="Arial" w:hAnsi="Arial" w:hint="default"/>
      </w:rPr>
    </w:lvl>
    <w:lvl w:ilvl="6" w:tplc="0B701F56" w:tentative="1">
      <w:start w:val="1"/>
      <w:numFmt w:val="bullet"/>
      <w:lvlText w:val="•"/>
      <w:lvlJc w:val="left"/>
      <w:pPr>
        <w:tabs>
          <w:tab w:val="num" w:pos="5040"/>
        </w:tabs>
        <w:ind w:left="5040" w:hanging="360"/>
      </w:pPr>
      <w:rPr>
        <w:rFonts w:ascii="Arial" w:hAnsi="Arial" w:hint="default"/>
      </w:rPr>
    </w:lvl>
    <w:lvl w:ilvl="7" w:tplc="ABE4FE76" w:tentative="1">
      <w:start w:val="1"/>
      <w:numFmt w:val="bullet"/>
      <w:lvlText w:val="•"/>
      <w:lvlJc w:val="left"/>
      <w:pPr>
        <w:tabs>
          <w:tab w:val="num" w:pos="5760"/>
        </w:tabs>
        <w:ind w:left="5760" w:hanging="360"/>
      </w:pPr>
      <w:rPr>
        <w:rFonts w:ascii="Arial" w:hAnsi="Arial" w:hint="default"/>
      </w:rPr>
    </w:lvl>
    <w:lvl w:ilvl="8" w:tplc="A26C75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98A05E2"/>
    <w:multiLevelType w:val="hybridMultilevel"/>
    <w:tmpl w:val="C4A2EEF8"/>
    <w:lvl w:ilvl="0" w:tplc="297CECA0">
      <w:start w:val="1"/>
      <w:numFmt w:val="bullet"/>
      <w:lvlText w:val="•"/>
      <w:lvlJc w:val="left"/>
      <w:pPr>
        <w:tabs>
          <w:tab w:val="num" w:pos="720"/>
        </w:tabs>
        <w:ind w:left="720" w:hanging="360"/>
      </w:pPr>
      <w:rPr>
        <w:rFonts w:ascii="Arial" w:hAnsi="Arial" w:hint="default"/>
      </w:rPr>
    </w:lvl>
    <w:lvl w:ilvl="1" w:tplc="3C281E2C" w:tentative="1">
      <w:start w:val="1"/>
      <w:numFmt w:val="bullet"/>
      <w:lvlText w:val="•"/>
      <w:lvlJc w:val="left"/>
      <w:pPr>
        <w:tabs>
          <w:tab w:val="num" w:pos="1440"/>
        </w:tabs>
        <w:ind w:left="1440" w:hanging="360"/>
      </w:pPr>
      <w:rPr>
        <w:rFonts w:ascii="Arial" w:hAnsi="Arial" w:hint="default"/>
      </w:rPr>
    </w:lvl>
    <w:lvl w:ilvl="2" w:tplc="D3FCE638" w:tentative="1">
      <w:start w:val="1"/>
      <w:numFmt w:val="bullet"/>
      <w:lvlText w:val="•"/>
      <w:lvlJc w:val="left"/>
      <w:pPr>
        <w:tabs>
          <w:tab w:val="num" w:pos="2160"/>
        </w:tabs>
        <w:ind w:left="2160" w:hanging="360"/>
      </w:pPr>
      <w:rPr>
        <w:rFonts w:ascii="Arial" w:hAnsi="Arial" w:hint="default"/>
      </w:rPr>
    </w:lvl>
    <w:lvl w:ilvl="3" w:tplc="96720E90" w:tentative="1">
      <w:start w:val="1"/>
      <w:numFmt w:val="bullet"/>
      <w:lvlText w:val="•"/>
      <w:lvlJc w:val="left"/>
      <w:pPr>
        <w:tabs>
          <w:tab w:val="num" w:pos="2880"/>
        </w:tabs>
        <w:ind w:left="2880" w:hanging="360"/>
      </w:pPr>
      <w:rPr>
        <w:rFonts w:ascii="Arial" w:hAnsi="Arial" w:hint="default"/>
      </w:rPr>
    </w:lvl>
    <w:lvl w:ilvl="4" w:tplc="00AE4C6A" w:tentative="1">
      <w:start w:val="1"/>
      <w:numFmt w:val="bullet"/>
      <w:lvlText w:val="•"/>
      <w:lvlJc w:val="left"/>
      <w:pPr>
        <w:tabs>
          <w:tab w:val="num" w:pos="3600"/>
        </w:tabs>
        <w:ind w:left="3600" w:hanging="360"/>
      </w:pPr>
      <w:rPr>
        <w:rFonts w:ascii="Arial" w:hAnsi="Arial" w:hint="default"/>
      </w:rPr>
    </w:lvl>
    <w:lvl w:ilvl="5" w:tplc="CC30D8DC" w:tentative="1">
      <w:start w:val="1"/>
      <w:numFmt w:val="bullet"/>
      <w:lvlText w:val="•"/>
      <w:lvlJc w:val="left"/>
      <w:pPr>
        <w:tabs>
          <w:tab w:val="num" w:pos="4320"/>
        </w:tabs>
        <w:ind w:left="4320" w:hanging="360"/>
      </w:pPr>
      <w:rPr>
        <w:rFonts w:ascii="Arial" w:hAnsi="Arial" w:hint="default"/>
      </w:rPr>
    </w:lvl>
    <w:lvl w:ilvl="6" w:tplc="1E889510" w:tentative="1">
      <w:start w:val="1"/>
      <w:numFmt w:val="bullet"/>
      <w:lvlText w:val="•"/>
      <w:lvlJc w:val="left"/>
      <w:pPr>
        <w:tabs>
          <w:tab w:val="num" w:pos="5040"/>
        </w:tabs>
        <w:ind w:left="5040" w:hanging="360"/>
      </w:pPr>
      <w:rPr>
        <w:rFonts w:ascii="Arial" w:hAnsi="Arial" w:hint="default"/>
      </w:rPr>
    </w:lvl>
    <w:lvl w:ilvl="7" w:tplc="1B56F100" w:tentative="1">
      <w:start w:val="1"/>
      <w:numFmt w:val="bullet"/>
      <w:lvlText w:val="•"/>
      <w:lvlJc w:val="left"/>
      <w:pPr>
        <w:tabs>
          <w:tab w:val="num" w:pos="5760"/>
        </w:tabs>
        <w:ind w:left="5760" w:hanging="360"/>
      </w:pPr>
      <w:rPr>
        <w:rFonts w:ascii="Arial" w:hAnsi="Arial" w:hint="default"/>
      </w:rPr>
    </w:lvl>
    <w:lvl w:ilvl="8" w:tplc="1C60E7A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7405D2C"/>
    <w:multiLevelType w:val="hybridMultilevel"/>
    <w:tmpl w:val="A168B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EE406F"/>
    <w:multiLevelType w:val="hybridMultilevel"/>
    <w:tmpl w:val="39943732"/>
    <w:lvl w:ilvl="0" w:tplc="D3CCC3C2">
      <w:start w:val="1"/>
      <w:numFmt w:val="bullet"/>
      <w:lvlText w:val="•"/>
      <w:lvlJc w:val="left"/>
      <w:pPr>
        <w:tabs>
          <w:tab w:val="num" w:pos="720"/>
        </w:tabs>
        <w:ind w:left="720" w:hanging="360"/>
      </w:pPr>
      <w:rPr>
        <w:rFonts w:ascii="Arial" w:hAnsi="Arial" w:hint="default"/>
      </w:rPr>
    </w:lvl>
    <w:lvl w:ilvl="1" w:tplc="A282F0AC" w:tentative="1">
      <w:start w:val="1"/>
      <w:numFmt w:val="bullet"/>
      <w:lvlText w:val="•"/>
      <w:lvlJc w:val="left"/>
      <w:pPr>
        <w:tabs>
          <w:tab w:val="num" w:pos="1440"/>
        </w:tabs>
        <w:ind w:left="1440" w:hanging="360"/>
      </w:pPr>
      <w:rPr>
        <w:rFonts w:ascii="Arial" w:hAnsi="Arial" w:hint="default"/>
      </w:rPr>
    </w:lvl>
    <w:lvl w:ilvl="2" w:tplc="BC9E7382" w:tentative="1">
      <w:start w:val="1"/>
      <w:numFmt w:val="bullet"/>
      <w:lvlText w:val="•"/>
      <w:lvlJc w:val="left"/>
      <w:pPr>
        <w:tabs>
          <w:tab w:val="num" w:pos="2160"/>
        </w:tabs>
        <w:ind w:left="2160" w:hanging="360"/>
      </w:pPr>
      <w:rPr>
        <w:rFonts w:ascii="Arial" w:hAnsi="Arial" w:hint="default"/>
      </w:rPr>
    </w:lvl>
    <w:lvl w:ilvl="3" w:tplc="BC1C04BC" w:tentative="1">
      <w:start w:val="1"/>
      <w:numFmt w:val="bullet"/>
      <w:lvlText w:val="•"/>
      <w:lvlJc w:val="left"/>
      <w:pPr>
        <w:tabs>
          <w:tab w:val="num" w:pos="2880"/>
        </w:tabs>
        <w:ind w:left="2880" w:hanging="360"/>
      </w:pPr>
      <w:rPr>
        <w:rFonts w:ascii="Arial" w:hAnsi="Arial" w:hint="default"/>
      </w:rPr>
    </w:lvl>
    <w:lvl w:ilvl="4" w:tplc="F85696E2" w:tentative="1">
      <w:start w:val="1"/>
      <w:numFmt w:val="bullet"/>
      <w:lvlText w:val="•"/>
      <w:lvlJc w:val="left"/>
      <w:pPr>
        <w:tabs>
          <w:tab w:val="num" w:pos="3600"/>
        </w:tabs>
        <w:ind w:left="3600" w:hanging="360"/>
      </w:pPr>
      <w:rPr>
        <w:rFonts w:ascii="Arial" w:hAnsi="Arial" w:hint="default"/>
      </w:rPr>
    </w:lvl>
    <w:lvl w:ilvl="5" w:tplc="CA34AA78" w:tentative="1">
      <w:start w:val="1"/>
      <w:numFmt w:val="bullet"/>
      <w:lvlText w:val="•"/>
      <w:lvlJc w:val="left"/>
      <w:pPr>
        <w:tabs>
          <w:tab w:val="num" w:pos="4320"/>
        </w:tabs>
        <w:ind w:left="4320" w:hanging="360"/>
      </w:pPr>
      <w:rPr>
        <w:rFonts w:ascii="Arial" w:hAnsi="Arial" w:hint="default"/>
      </w:rPr>
    </w:lvl>
    <w:lvl w:ilvl="6" w:tplc="6C2C4EDC" w:tentative="1">
      <w:start w:val="1"/>
      <w:numFmt w:val="bullet"/>
      <w:lvlText w:val="•"/>
      <w:lvlJc w:val="left"/>
      <w:pPr>
        <w:tabs>
          <w:tab w:val="num" w:pos="5040"/>
        </w:tabs>
        <w:ind w:left="5040" w:hanging="360"/>
      </w:pPr>
      <w:rPr>
        <w:rFonts w:ascii="Arial" w:hAnsi="Arial" w:hint="default"/>
      </w:rPr>
    </w:lvl>
    <w:lvl w:ilvl="7" w:tplc="BCF0DAC4" w:tentative="1">
      <w:start w:val="1"/>
      <w:numFmt w:val="bullet"/>
      <w:lvlText w:val="•"/>
      <w:lvlJc w:val="left"/>
      <w:pPr>
        <w:tabs>
          <w:tab w:val="num" w:pos="5760"/>
        </w:tabs>
        <w:ind w:left="5760" w:hanging="360"/>
      </w:pPr>
      <w:rPr>
        <w:rFonts w:ascii="Arial" w:hAnsi="Arial" w:hint="default"/>
      </w:rPr>
    </w:lvl>
    <w:lvl w:ilvl="8" w:tplc="3DC4D79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A8B0154"/>
    <w:multiLevelType w:val="hybridMultilevel"/>
    <w:tmpl w:val="656664C6"/>
    <w:lvl w:ilvl="0" w:tplc="93D00976">
      <w:start w:val="1"/>
      <w:numFmt w:val="bullet"/>
      <w:lvlText w:val="•"/>
      <w:lvlJc w:val="left"/>
      <w:pPr>
        <w:tabs>
          <w:tab w:val="num" w:pos="720"/>
        </w:tabs>
        <w:ind w:left="720" w:hanging="360"/>
      </w:pPr>
      <w:rPr>
        <w:rFonts w:ascii="Arial" w:hAnsi="Arial" w:hint="default"/>
      </w:rPr>
    </w:lvl>
    <w:lvl w:ilvl="1" w:tplc="5986DF16" w:tentative="1">
      <w:start w:val="1"/>
      <w:numFmt w:val="bullet"/>
      <w:lvlText w:val="•"/>
      <w:lvlJc w:val="left"/>
      <w:pPr>
        <w:tabs>
          <w:tab w:val="num" w:pos="1440"/>
        </w:tabs>
        <w:ind w:left="1440" w:hanging="360"/>
      </w:pPr>
      <w:rPr>
        <w:rFonts w:ascii="Arial" w:hAnsi="Arial" w:hint="default"/>
      </w:rPr>
    </w:lvl>
    <w:lvl w:ilvl="2" w:tplc="DFA2D344" w:tentative="1">
      <w:start w:val="1"/>
      <w:numFmt w:val="bullet"/>
      <w:lvlText w:val="•"/>
      <w:lvlJc w:val="left"/>
      <w:pPr>
        <w:tabs>
          <w:tab w:val="num" w:pos="2160"/>
        </w:tabs>
        <w:ind w:left="2160" w:hanging="360"/>
      </w:pPr>
      <w:rPr>
        <w:rFonts w:ascii="Arial" w:hAnsi="Arial" w:hint="default"/>
      </w:rPr>
    </w:lvl>
    <w:lvl w:ilvl="3" w:tplc="5EA8C4FC" w:tentative="1">
      <w:start w:val="1"/>
      <w:numFmt w:val="bullet"/>
      <w:lvlText w:val="•"/>
      <w:lvlJc w:val="left"/>
      <w:pPr>
        <w:tabs>
          <w:tab w:val="num" w:pos="2880"/>
        </w:tabs>
        <w:ind w:left="2880" w:hanging="360"/>
      </w:pPr>
      <w:rPr>
        <w:rFonts w:ascii="Arial" w:hAnsi="Arial" w:hint="default"/>
      </w:rPr>
    </w:lvl>
    <w:lvl w:ilvl="4" w:tplc="9C2E324E" w:tentative="1">
      <w:start w:val="1"/>
      <w:numFmt w:val="bullet"/>
      <w:lvlText w:val="•"/>
      <w:lvlJc w:val="left"/>
      <w:pPr>
        <w:tabs>
          <w:tab w:val="num" w:pos="3600"/>
        </w:tabs>
        <w:ind w:left="3600" w:hanging="360"/>
      </w:pPr>
      <w:rPr>
        <w:rFonts w:ascii="Arial" w:hAnsi="Arial" w:hint="default"/>
      </w:rPr>
    </w:lvl>
    <w:lvl w:ilvl="5" w:tplc="61FC6B1C" w:tentative="1">
      <w:start w:val="1"/>
      <w:numFmt w:val="bullet"/>
      <w:lvlText w:val="•"/>
      <w:lvlJc w:val="left"/>
      <w:pPr>
        <w:tabs>
          <w:tab w:val="num" w:pos="4320"/>
        </w:tabs>
        <w:ind w:left="4320" w:hanging="360"/>
      </w:pPr>
      <w:rPr>
        <w:rFonts w:ascii="Arial" w:hAnsi="Arial" w:hint="default"/>
      </w:rPr>
    </w:lvl>
    <w:lvl w:ilvl="6" w:tplc="6D224D4C" w:tentative="1">
      <w:start w:val="1"/>
      <w:numFmt w:val="bullet"/>
      <w:lvlText w:val="•"/>
      <w:lvlJc w:val="left"/>
      <w:pPr>
        <w:tabs>
          <w:tab w:val="num" w:pos="5040"/>
        </w:tabs>
        <w:ind w:left="5040" w:hanging="360"/>
      </w:pPr>
      <w:rPr>
        <w:rFonts w:ascii="Arial" w:hAnsi="Arial" w:hint="default"/>
      </w:rPr>
    </w:lvl>
    <w:lvl w:ilvl="7" w:tplc="D7A2007A" w:tentative="1">
      <w:start w:val="1"/>
      <w:numFmt w:val="bullet"/>
      <w:lvlText w:val="•"/>
      <w:lvlJc w:val="left"/>
      <w:pPr>
        <w:tabs>
          <w:tab w:val="num" w:pos="5760"/>
        </w:tabs>
        <w:ind w:left="5760" w:hanging="360"/>
      </w:pPr>
      <w:rPr>
        <w:rFonts w:ascii="Arial" w:hAnsi="Arial" w:hint="default"/>
      </w:rPr>
    </w:lvl>
    <w:lvl w:ilvl="8" w:tplc="80CA290A" w:tentative="1">
      <w:start w:val="1"/>
      <w:numFmt w:val="bullet"/>
      <w:lvlText w:val="•"/>
      <w:lvlJc w:val="left"/>
      <w:pPr>
        <w:tabs>
          <w:tab w:val="num" w:pos="6480"/>
        </w:tabs>
        <w:ind w:left="6480" w:hanging="360"/>
      </w:pPr>
      <w:rPr>
        <w:rFonts w:ascii="Arial" w:hAnsi="Arial" w:hint="default"/>
      </w:rPr>
    </w:lvl>
  </w:abstractNum>
  <w:num w:numId="1" w16cid:durableId="1360930078">
    <w:abstractNumId w:val="4"/>
  </w:num>
  <w:num w:numId="2" w16cid:durableId="1210848049">
    <w:abstractNumId w:val="3"/>
  </w:num>
  <w:num w:numId="3" w16cid:durableId="1691487275">
    <w:abstractNumId w:val="7"/>
  </w:num>
  <w:num w:numId="4" w16cid:durableId="132792679">
    <w:abstractNumId w:val="1"/>
  </w:num>
  <w:num w:numId="5" w16cid:durableId="1040059510">
    <w:abstractNumId w:val="2"/>
  </w:num>
  <w:num w:numId="6" w16cid:durableId="1403721279">
    <w:abstractNumId w:val="6"/>
  </w:num>
  <w:num w:numId="7" w16cid:durableId="2087528409">
    <w:abstractNumId w:val="0"/>
  </w:num>
  <w:num w:numId="8" w16cid:durableId="4934946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29"/>
    <w:rsid w:val="00003239"/>
    <w:rsid w:val="00004E2D"/>
    <w:rsid w:val="000326FD"/>
    <w:rsid w:val="00082809"/>
    <w:rsid w:val="000A1FBF"/>
    <w:rsid w:val="000E485C"/>
    <w:rsid w:val="000E7776"/>
    <w:rsid w:val="0011194D"/>
    <w:rsid w:val="00114B8B"/>
    <w:rsid w:val="0018153F"/>
    <w:rsid w:val="0019559C"/>
    <w:rsid w:val="001A3606"/>
    <w:rsid w:val="001B5602"/>
    <w:rsid w:val="001D6CF4"/>
    <w:rsid w:val="002001E2"/>
    <w:rsid w:val="00262FF6"/>
    <w:rsid w:val="00266A12"/>
    <w:rsid w:val="002E742E"/>
    <w:rsid w:val="00340C25"/>
    <w:rsid w:val="003607F9"/>
    <w:rsid w:val="00375332"/>
    <w:rsid w:val="003B57EB"/>
    <w:rsid w:val="003C6687"/>
    <w:rsid w:val="003D371B"/>
    <w:rsid w:val="00405689"/>
    <w:rsid w:val="004524D8"/>
    <w:rsid w:val="00460333"/>
    <w:rsid w:val="0046574F"/>
    <w:rsid w:val="004A2F56"/>
    <w:rsid w:val="004B67FA"/>
    <w:rsid w:val="004C2917"/>
    <w:rsid w:val="004E6E6C"/>
    <w:rsid w:val="00582BE1"/>
    <w:rsid w:val="005A0DF0"/>
    <w:rsid w:val="005C0720"/>
    <w:rsid w:val="005F5538"/>
    <w:rsid w:val="00606783"/>
    <w:rsid w:val="006078C5"/>
    <w:rsid w:val="00661ECF"/>
    <w:rsid w:val="006A1F40"/>
    <w:rsid w:val="006E00B8"/>
    <w:rsid w:val="00757A29"/>
    <w:rsid w:val="007C1A5C"/>
    <w:rsid w:val="007E4A5F"/>
    <w:rsid w:val="008010F1"/>
    <w:rsid w:val="00880984"/>
    <w:rsid w:val="00894ECD"/>
    <w:rsid w:val="008A2F0B"/>
    <w:rsid w:val="008A48A4"/>
    <w:rsid w:val="008F5377"/>
    <w:rsid w:val="00902115"/>
    <w:rsid w:val="0092763C"/>
    <w:rsid w:val="009A17A2"/>
    <w:rsid w:val="009D0E82"/>
    <w:rsid w:val="00A150E8"/>
    <w:rsid w:val="00A3162D"/>
    <w:rsid w:val="00A54857"/>
    <w:rsid w:val="00A812CB"/>
    <w:rsid w:val="00A870B3"/>
    <w:rsid w:val="00AA4D52"/>
    <w:rsid w:val="00AF20E1"/>
    <w:rsid w:val="00AF6223"/>
    <w:rsid w:val="00B04F4F"/>
    <w:rsid w:val="00B52A7F"/>
    <w:rsid w:val="00B96601"/>
    <w:rsid w:val="00BB0039"/>
    <w:rsid w:val="00BB7127"/>
    <w:rsid w:val="00BF0F5D"/>
    <w:rsid w:val="00BF63F7"/>
    <w:rsid w:val="00C054B2"/>
    <w:rsid w:val="00C05C37"/>
    <w:rsid w:val="00C26155"/>
    <w:rsid w:val="00C408D9"/>
    <w:rsid w:val="00C51CF5"/>
    <w:rsid w:val="00C55A1F"/>
    <w:rsid w:val="00C65ABE"/>
    <w:rsid w:val="00CA72EB"/>
    <w:rsid w:val="00D076DF"/>
    <w:rsid w:val="00D35302"/>
    <w:rsid w:val="00D551B2"/>
    <w:rsid w:val="00D9400B"/>
    <w:rsid w:val="00DC59CD"/>
    <w:rsid w:val="00DF2885"/>
    <w:rsid w:val="00E02109"/>
    <w:rsid w:val="00E23A24"/>
    <w:rsid w:val="00EE0B44"/>
    <w:rsid w:val="00F00D21"/>
    <w:rsid w:val="00F51767"/>
    <w:rsid w:val="00FC1154"/>
    <w:rsid w:val="00FF5E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53C9F"/>
  <w15:chartTrackingRefBased/>
  <w15:docId w15:val="{DD8CCD00-6C15-4D76-8A1D-8FBF60DE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07F9"/>
    <w:pPr>
      <w:ind w:left="720"/>
      <w:contextualSpacing/>
    </w:pPr>
  </w:style>
  <w:style w:type="character" w:styleId="Marquedecommentaire">
    <w:name w:val="annotation reference"/>
    <w:basedOn w:val="Policepardfaut"/>
    <w:uiPriority w:val="99"/>
    <w:semiHidden/>
    <w:unhideWhenUsed/>
    <w:rsid w:val="001B5602"/>
    <w:rPr>
      <w:sz w:val="16"/>
      <w:szCs w:val="16"/>
    </w:rPr>
  </w:style>
  <w:style w:type="paragraph" w:styleId="Commentaire">
    <w:name w:val="annotation text"/>
    <w:basedOn w:val="Normal"/>
    <w:link w:val="CommentaireCar"/>
    <w:uiPriority w:val="99"/>
    <w:unhideWhenUsed/>
    <w:rsid w:val="001B5602"/>
    <w:pPr>
      <w:spacing w:line="240" w:lineRule="auto"/>
    </w:pPr>
    <w:rPr>
      <w:sz w:val="20"/>
      <w:szCs w:val="20"/>
    </w:rPr>
  </w:style>
  <w:style w:type="character" w:customStyle="1" w:styleId="CommentaireCar">
    <w:name w:val="Commentaire Car"/>
    <w:basedOn w:val="Policepardfaut"/>
    <w:link w:val="Commentaire"/>
    <w:uiPriority w:val="99"/>
    <w:rsid w:val="001B5602"/>
    <w:rPr>
      <w:sz w:val="20"/>
      <w:szCs w:val="20"/>
    </w:rPr>
  </w:style>
  <w:style w:type="paragraph" w:styleId="Objetducommentaire">
    <w:name w:val="annotation subject"/>
    <w:basedOn w:val="Commentaire"/>
    <w:next w:val="Commentaire"/>
    <w:link w:val="ObjetducommentaireCar"/>
    <w:uiPriority w:val="99"/>
    <w:semiHidden/>
    <w:unhideWhenUsed/>
    <w:rsid w:val="001B5602"/>
    <w:rPr>
      <w:b/>
      <w:bCs/>
    </w:rPr>
  </w:style>
  <w:style w:type="character" w:customStyle="1" w:styleId="ObjetducommentaireCar">
    <w:name w:val="Objet du commentaire Car"/>
    <w:basedOn w:val="CommentaireCar"/>
    <w:link w:val="Objetducommentaire"/>
    <w:uiPriority w:val="99"/>
    <w:semiHidden/>
    <w:rsid w:val="001B5602"/>
    <w:rPr>
      <w:b/>
      <w:bCs/>
      <w:sz w:val="20"/>
      <w:szCs w:val="20"/>
    </w:rPr>
  </w:style>
  <w:style w:type="paragraph" w:styleId="Rvision">
    <w:name w:val="Revision"/>
    <w:hidden/>
    <w:uiPriority w:val="99"/>
    <w:semiHidden/>
    <w:rsid w:val="00DC59CD"/>
    <w:pPr>
      <w:spacing w:after="0" w:line="240" w:lineRule="auto"/>
    </w:pPr>
  </w:style>
  <w:style w:type="paragraph" w:styleId="Pieddepage">
    <w:name w:val="footer"/>
    <w:basedOn w:val="Normal"/>
    <w:link w:val="PieddepageCar"/>
    <w:uiPriority w:val="99"/>
    <w:unhideWhenUsed/>
    <w:rsid w:val="005F55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5538"/>
  </w:style>
  <w:style w:type="character" w:styleId="Numrodepage">
    <w:name w:val="page number"/>
    <w:basedOn w:val="Policepardfaut"/>
    <w:uiPriority w:val="99"/>
    <w:semiHidden/>
    <w:unhideWhenUsed/>
    <w:rsid w:val="005F5538"/>
  </w:style>
  <w:style w:type="paragraph" w:styleId="En-tte">
    <w:name w:val="header"/>
    <w:basedOn w:val="Normal"/>
    <w:link w:val="En-tteCar"/>
    <w:uiPriority w:val="99"/>
    <w:unhideWhenUsed/>
    <w:rsid w:val="00266A12"/>
    <w:pPr>
      <w:tabs>
        <w:tab w:val="center" w:pos="4536"/>
        <w:tab w:val="right" w:pos="9072"/>
      </w:tabs>
      <w:spacing w:after="0" w:line="240" w:lineRule="auto"/>
    </w:pPr>
  </w:style>
  <w:style w:type="character" w:customStyle="1" w:styleId="En-tteCar">
    <w:name w:val="En-tête Car"/>
    <w:basedOn w:val="Policepardfaut"/>
    <w:link w:val="En-tte"/>
    <w:uiPriority w:val="99"/>
    <w:rsid w:val="00266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299545">
      <w:bodyDiv w:val="1"/>
      <w:marLeft w:val="0"/>
      <w:marRight w:val="0"/>
      <w:marTop w:val="0"/>
      <w:marBottom w:val="0"/>
      <w:divBdr>
        <w:top w:val="none" w:sz="0" w:space="0" w:color="auto"/>
        <w:left w:val="none" w:sz="0" w:space="0" w:color="auto"/>
        <w:bottom w:val="none" w:sz="0" w:space="0" w:color="auto"/>
        <w:right w:val="none" w:sz="0" w:space="0" w:color="auto"/>
      </w:divBdr>
      <w:divsChild>
        <w:div w:id="341786284">
          <w:marLeft w:val="274"/>
          <w:marRight w:val="0"/>
          <w:marTop w:val="0"/>
          <w:marBottom w:val="0"/>
          <w:divBdr>
            <w:top w:val="none" w:sz="0" w:space="0" w:color="auto"/>
            <w:left w:val="none" w:sz="0" w:space="0" w:color="auto"/>
            <w:bottom w:val="none" w:sz="0" w:space="0" w:color="auto"/>
            <w:right w:val="none" w:sz="0" w:space="0" w:color="auto"/>
          </w:divBdr>
        </w:div>
        <w:div w:id="1433209738">
          <w:marLeft w:val="274"/>
          <w:marRight w:val="0"/>
          <w:marTop w:val="0"/>
          <w:marBottom w:val="0"/>
          <w:divBdr>
            <w:top w:val="none" w:sz="0" w:space="0" w:color="auto"/>
            <w:left w:val="none" w:sz="0" w:space="0" w:color="auto"/>
            <w:bottom w:val="none" w:sz="0" w:space="0" w:color="auto"/>
            <w:right w:val="none" w:sz="0" w:space="0" w:color="auto"/>
          </w:divBdr>
        </w:div>
        <w:div w:id="377121287">
          <w:marLeft w:val="274"/>
          <w:marRight w:val="0"/>
          <w:marTop w:val="0"/>
          <w:marBottom w:val="0"/>
          <w:divBdr>
            <w:top w:val="none" w:sz="0" w:space="0" w:color="auto"/>
            <w:left w:val="none" w:sz="0" w:space="0" w:color="auto"/>
            <w:bottom w:val="none" w:sz="0" w:space="0" w:color="auto"/>
            <w:right w:val="none" w:sz="0" w:space="0" w:color="auto"/>
          </w:divBdr>
        </w:div>
        <w:div w:id="2021815240">
          <w:marLeft w:val="274"/>
          <w:marRight w:val="0"/>
          <w:marTop w:val="0"/>
          <w:marBottom w:val="0"/>
          <w:divBdr>
            <w:top w:val="none" w:sz="0" w:space="0" w:color="auto"/>
            <w:left w:val="none" w:sz="0" w:space="0" w:color="auto"/>
            <w:bottom w:val="none" w:sz="0" w:space="0" w:color="auto"/>
            <w:right w:val="none" w:sz="0" w:space="0" w:color="auto"/>
          </w:divBdr>
        </w:div>
        <w:div w:id="1973124288">
          <w:marLeft w:val="274"/>
          <w:marRight w:val="0"/>
          <w:marTop w:val="0"/>
          <w:marBottom w:val="0"/>
          <w:divBdr>
            <w:top w:val="none" w:sz="0" w:space="0" w:color="auto"/>
            <w:left w:val="none" w:sz="0" w:space="0" w:color="auto"/>
            <w:bottom w:val="none" w:sz="0" w:space="0" w:color="auto"/>
            <w:right w:val="none" w:sz="0" w:space="0" w:color="auto"/>
          </w:divBdr>
        </w:div>
        <w:div w:id="532577731">
          <w:marLeft w:val="274"/>
          <w:marRight w:val="0"/>
          <w:marTop w:val="0"/>
          <w:marBottom w:val="0"/>
          <w:divBdr>
            <w:top w:val="none" w:sz="0" w:space="0" w:color="auto"/>
            <w:left w:val="none" w:sz="0" w:space="0" w:color="auto"/>
            <w:bottom w:val="none" w:sz="0" w:space="0" w:color="auto"/>
            <w:right w:val="none" w:sz="0" w:space="0" w:color="auto"/>
          </w:divBdr>
        </w:div>
        <w:div w:id="1350718715">
          <w:marLeft w:val="274"/>
          <w:marRight w:val="0"/>
          <w:marTop w:val="0"/>
          <w:marBottom w:val="0"/>
          <w:divBdr>
            <w:top w:val="none" w:sz="0" w:space="0" w:color="auto"/>
            <w:left w:val="none" w:sz="0" w:space="0" w:color="auto"/>
            <w:bottom w:val="none" w:sz="0" w:space="0" w:color="auto"/>
            <w:right w:val="none" w:sz="0" w:space="0" w:color="auto"/>
          </w:divBdr>
        </w:div>
        <w:div w:id="1446196325">
          <w:marLeft w:val="274"/>
          <w:marRight w:val="0"/>
          <w:marTop w:val="0"/>
          <w:marBottom w:val="0"/>
          <w:divBdr>
            <w:top w:val="none" w:sz="0" w:space="0" w:color="auto"/>
            <w:left w:val="none" w:sz="0" w:space="0" w:color="auto"/>
            <w:bottom w:val="none" w:sz="0" w:space="0" w:color="auto"/>
            <w:right w:val="none" w:sz="0" w:space="0" w:color="auto"/>
          </w:divBdr>
        </w:div>
        <w:div w:id="1927573133">
          <w:marLeft w:val="274"/>
          <w:marRight w:val="0"/>
          <w:marTop w:val="0"/>
          <w:marBottom w:val="0"/>
          <w:divBdr>
            <w:top w:val="none" w:sz="0" w:space="0" w:color="auto"/>
            <w:left w:val="none" w:sz="0" w:space="0" w:color="auto"/>
            <w:bottom w:val="none" w:sz="0" w:space="0" w:color="auto"/>
            <w:right w:val="none" w:sz="0" w:space="0" w:color="auto"/>
          </w:divBdr>
        </w:div>
        <w:div w:id="723413660">
          <w:marLeft w:val="274"/>
          <w:marRight w:val="0"/>
          <w:marTop w:val="0"/>
          <w:marBottom w:val="0"/>
          <w:divBdr>
            <w:top w:val="none" w:sz="0" w:space="0" w:color="auto"/>
            <w:left w:val="none" w:sz="0" w:space="0" w:color="auto"/>
            <w:bottom w:val="none" w:sz="0" w:space="0" w:color="auto"/>
            <w:right w:val="none" w:sz="0" w:space="0" w:color="auto"/>
          </w:divBdr>
        </w:div>
        <w:div w:id="1466655735">
          <w:marLeft w:val="274"/>
          <w:marRight w:val="0"/>
          <w:marTop w:val="0"/>
          <w:marBottom w:val="0"/>
          <w:divBdr>
            <w:top w:val="none" w:sz="0" w:space="0" w:color="auto"/>
            <w:left w:val="none" w:sz="0" w:space="0" w:color="auto"/>
            <w:bottom w:val="none" w:sz="0" w:space="0" w:color="auto"/>
            <w:right w:val="none" w:sz="0" w:space="0" w:color="auto"/>
          </w:divBdr>
        </w:div>
        <w:div w:id="1155607087">
          <w:marLeft w:val="274"/>
          <w:marRight w:val="0"/>
          <w:marTop w:val="0"/>
          <w:marBottom w:val="0"/>
          <w:divBdr>
            <w:top w:val="none" w:sz="0" w:space="0" w:color="auto"/>
            <w:left w:val="none" w:sz="0" w:space="0" w:color="auto"/>
            <w:bottom w:val="none" w:sz="0" w:space="0" w:color="auto"/>
            <w:right w:val="none" w:sz="0" w:space="0" w:color="auto"/>
          </w:divBdr>
        </w:div>
        <w:div w:id="554851918">
          <w:marLeft w:val="274"/>
          <w:marRight w:val="0"/>
          <w:marTop w:val="0"/>
          <w:marBottom w:val="0"/>
          <w:divBdr>
            <w:top w:val="none" w:sz="0" w:space="0" w:color="auto"/>
            <w:left w:val="none" w:sz="0" w:space="0" w:color="auto"/>
            <w:bottom w:val="none" w:sz="0" w:space="0" w:color="auto"/>
            <w:right w:val="none" w:sz="0" w:space="0" w:color="auto"/>
          </w:divBdr>
        </w:div>
        <w:div w:id="1634872605">
          <w:marLeft w:val="274"/>
          <w:marRight w:val="0"/>
          <w:marTop w:val="0"/>
          <w:marBottom w:val="0"/>
          <w:divBdr>
            <w:top w:val="none" w:sz="0" w:space="0" w:color="auto"/>
            <w:left w:val="none" w:sz="0" w:space="0" w:color="auto"/>
            <w:bottom w:val="none" w:sz="0" w:space="0" w:color="auto"/>
            <w:right w:val="none" w:sz="0" w:space="0" w:color="auto"/>
          </w:divBdr>
        </w:div>
      </w:divsChild>
    </w:div>
    <w:div w:id="895043995">
      <w:bodyDiv w:val="1"/>
      <w:marLeft w:val="0"/>
      <w:marRight w:val="0"/>
      <w:marTop w:val="0"/>
      <w:marBottom w:val="0"/>
      <w:divBdr>
        <w:top w:val="none" w:sz="0" w:space="0" w:color="auto"/>
        <w:left w:val="none" w:sz="0" w:space="0" w:color="auto"/>
        <w:bottom w:val="none" w:sz="0" w:space="0" w:color="auto"/>
        <w:right w:val="none" w:sz="0" w:space="0" w:color="auto"/>
      </w:divBdr>
      <w:divsChild>
        <w:div w:id="2088308283">
          <w:marLeft w:val="446"/>
          <w:marRight w:val="0"/>
          <w:marTop w:val="0"/>
          <w:marBottom w:val="0"/>
          <w:divBdr>
            <w:top w:val="none" w:sz="0" w:space="0" w:color="auto"/>
            <w:left w:val="none" w:sz="0" w:space="0" w:color="auto"/>
            <w:bottom w:val="none" w:sz="0" w:space="0" w:color="auto"/>
            <w:right w:val="none" w:sz="0" w:space="0" w:color="auto"/>
          </w:divBdr>
        </w:div>
        <w:div w:id="1529221691">
          <w:marLeft w:val="446"/>
          <w:marRight w:val="0"/>
          <w:marTop w:val="0"/>
          <w:marBottom w:val="0"/>
          <w:divBdr>
            <w:top w:val="none" w:sz="0" w:space="0" w:color="auto"/>
            <w:left w:val="none" w:sz="0" w:space="0" w:color="auto"/>
            <w:bottom w:val="none" w:sz="0" w:space="0" w:color="auto"/>
            <w:right w:val="none" w:sz="0" w:space="0" w:color="auto"/>
          </w:divBdr>
        </w:div>
        <w:div w:id="496960534">
          <w:marLeft w:val="446"/>
          <w:marRight w:val="0"/>
          <w:marTop w:val="0"/>
          <w:marBottom w:val="0"/>
          <w:divBdr>
            <w:top w:val="none" w:sz="0" w:space="0" w:color="auto"/>
            <w:left w:val="none" w:sz="0" w:space="0" w:color="auto"/>
            <w:bottom w:val="none" w:sz="0" w:space="0" w:color="auto"/>
            <w:right w:val="none" w:sz="0" w:space="0" w:color="auto"/>
          </w:divBdr>
        </w:div>
        <w:div w:id="757099408">
          <w:marLeft w:val="446"/>
          <w:marRight w:val="0"/>
          <w:marTop w:val="0"/>
          <w:marBottom w:val="0"/>
          <w:divBdr>
            <w:top w:val="none" w:sz="0" w:space="0" w:color="auto"/>
            <w:left w:val="none" w:sz="0" w:space="0" w:color="auto"/>
            <w:bottom w:val="none" w:sz="0" w:space="0" w:color="auto"/>
            <w:right w:val="none" w:sz="0" w:space="0" w:color="auto"/>
          </w:divBdr>
        </w:div>
        <w:div w:id="42824061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91c648-1b48-42bb-91f5-7b0e8291946f">
      <Terms xmlns="http://schemas.microsoft.com/office/infopath/2007/PartnerControls"/>
    </lcf76f155ced4ddcb4097134ff3c332f>
    <TaxCatchAll xmlns="2d10ee24-8473-4164-8af7-a180a5e019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BCCC00C3CEE949A1B931EB45B4F548" ma:contentTypeVersion="13" ma:contentTypeDescription="Crée un document." ma:contentTypeScope="" ma:versionID="07059f3ef0c503cfa62c4da9a65f1fbe">
  <xsd:schema xmlns:xsd="http://www.w3.org/2001/XMLSchema" xmlns:xs="http://www.w3.org/2001/XMLSchema" xmlns:p="http://schemas.microsoft.com/office/2006/metadata/properties" xmlns:ns2="6991c648-1b48-42bb-91f5-7b0e8291946f" xmlns:ns3="2d10ee24-8473-4164-8af7-a180a5e01911" targetNamespace="http://schemas.microsoft.com/office/2006/metadata/properties" ma:root="true" ma:fieldsID="1580421445c3a964104a58011806d392" ns2:_="" ns3:_="">
    <xsd:import namespace="6991c648-1b48-42bb-91f5-7b0e8291946f"/>
    <xsd:import namespace="2d10ee24-8473-4164-8af7-a180a5e019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1c648-1b48-42bb-91f5-7b0e82919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775635c-929f-420b-bbf0-50c23f8d5e0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10ee24-8473-4164-8af7-a180a5e019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75900d-3aea-4e9f-bc82-63b6d77cf530}" ma:internalName="TaxCatchAll" ma:showField="CatchAllData" ma:web="2d10ee24-8473-4164-8af7-a180a5e019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F70B9B-0DB7-417B-82B9-623A98F82F3B}">
  <ds:schemaRefs>
    <ds:schemaRef ds:uri="http://schemas.microsoft.com/office/2006/metadata/properties"/>
    <ds:schemaRef ds:uri="http://schemas.microsoft.com/office/infopath/2007/PartnerControls"/>
    <ds:schemaRef ds:uri="6991c648-1b48-42bb-91f5-7b0e8291946f"/>
    <ds:schemaRef ds:uri="2d10ee24-8473-4164-8af7-a180a5e01911"/>
  </ds:schemaRefs>
</ds:datastoreItem>
</file>

<file path=customXml/itemProps2.xml><?xml version="1.0" encoding="utf-8"?>
<ds:datastoreItem xmlns:ds="http://schemas.openxmlformats.org/officeDocument/2006/customXml" ds:itemID="{E70C8833-F2BB-44BC-B59B-88ECE973197D}">
  <ds:schemaRefs>
    <ds:schemaRef ds:uri="http://schemas.microsoft.com/sharepoint/v3/contenttype/forms"/>
  </ds:schemaRefs>
</ds:datastoreItem>
</file>

<file path=customXml/itemProps3.xml><?xml version="1.0" encoding="utf-8"?>
<ds:datastoreItem xmlns:ds="http://schemas.openxmlformats.org/officeDocument/2006/customXml" ds:itemID="{8F5C6366-2540-4803-A6DE-7214B722F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1c648-1b48-42bb-91f5-7b0e8291946f"/>
    <ds:schemaRef ds:uri="2d10ee24-8473-4164-8af7-a180a5e01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1061</Words>
  <Characters>5839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Théophile (DNS)</dc:creator>
  <cp:keywords/>
  <dc:description/>
  <cp:lastModifiedBy>Julie Morin</cp:lastModifiedBy>
  <cp:revision>8</cp:revision>
  <dcterms:created xsi:type="dcterms:W3CDTF">2024-12-16T17:32:00Z</dcterms:created>
  <dcterms:modified xsi:type="dcterms:W3CDTF">2024-12-18T16:58:00Z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0x01010036BCCC00C3CEE949A1B931EB45B4F548</vt:lpwstr>
  </property>
  <property fmtid="{D5CDD505-2E9C-101B-9397-08002B2CF9AE}" pid="3" name="MediaServiceImageTags">
    <vt:lpwstr/>
  </property>
</Properties>
</file>